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6E0" w14:textId="1D3953C5" w:rsidR="00B422C5" w:rsidRDefault="00B422C5" w:rsidP="00B422C5">
      <w:pPr>
        <w:ind w:left="284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Supported Internship</w:t>
      </w:r>
    </w:p>
    <w:p w14:paraId="73012B2D" w14:textId="0B82B7F5" w:rsidR="00B422C5" w:rsidRPr="00B422C5" w:rsidRDefault="00B422C5" w:rsidP="00B422C5">
      <w:pPr>
        <w:ind w:left="284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Admissions Policy</w:t>
      </w:r>
    </w:p>
    <w:p w14:paraId="6F520E68" w14:textId="77777777" w:rsidR="00B422C5" w:rsidRDefault="00B422C5" w:rsidP="006E37CF">
      <w:pPr>
        <w:ind w:left="284" w:hanging="426"/>
      </w:pPr>
    </w:p>
    <w:p w14:paraId="072F8122" w14:textId="1C86BD5B" w:rsidR="005D1C20" w:rsidRPr="00B422C5" w:rsidRDefault="00B422C5" w:rsidP="006E37CF">
      <w:pPr>
        <w:ind w:left="284" w:hanging="426"/>
        <w:rPr>
          <w:b/>
          <w:bCs/>
        </w:rPr>
      </w:pPr>
      <w:r>
        <w:rPr>
          <w:b/>
          <w:bCs/>
        </w:rPr>
        <w:t>Purpose</w:t>
      </w:r>
    </w:p>
    <w:p w14:paraId="229F81EF" w14:textId="1EE0DEF9" w:rsidR="005D1C20" w:rsidRDefault="005D1C20" w:rsidP="005D1C20">
      <w:pPr>
        <w:ind w:left="-142"/>
      </w:pPr>
      <w:r w:rsidRPr="005D1C20">
        <w:t xml:space="preserve">To ensure that applicants to the </w:t>
      </w:r>
      <w:r>
        <w:t>Shaw Trust Supported Internship</w:t>
      </w:r>
      <w:r w:rsidRPr="005D1C20">
        <w:t xml:space="preserve"> are treated fairly.</w:t>
      </w:r>
      <w:r w:rsidR="00B422C5">
        <w:t xml:space="preserve">  </w:t>
      </w:r>
      <w:r w:rsidRPr="005D1C20">
        <w:t xml:space="preserve">All applicants will be considered for a place on their individual merits, providing they meet course specific entry criteria. </w:t>
      </w:r>
    </w:p>
    <w:p w14:paraId="63644F21" w14:textId="77777777" w:rsidR="005D1C20" w:rsidRDefault="005D1C20" w:rsidP="006E37CF">
      <w:pPr>
        <w:ind w:left="284" w:hanging="426"/>
      </w:pPr>
    </w:p>
    <w:p w14:paraId="5036197A" w14:textId="6DC9F0DB" w:rsidR="006E37CF" w:rsidRDefault="006E37CF" w:rsidP="006E37CF">
      <w:pPr>
        <w:pStyle w:val="ListParagraph"/>
        <w:numPr>
          <w:ilvl w:val="0"/>
          <w:numId w:val="2"/>
        </w:numPr>
        <w:ind w:left="284" w:hanging="426"/>
      </w:pPr>
      <w:r>
        <w:t>Introduction</w:t>
      </w:r>
    </w:p>
    <w:p w14:paraId="33818DC4" w14:textId="74590F15" w:rsidR="00D149E8" w:rsidRPr="00D149E8" w:rsidRDefault="00D149E8" w:rsidP="006E37CF">
      <w:r w:rsidRPr="00D149E8">
        <w:t>Our admissions procedure comprises 2 key criteria; that the young person w</w:t>
      </w:r>
      <w:r w:rsidR="00B422C5">
        <w:t>ishes</w:t>
      </w:r>
      <w:r w:rsidRPr="00D149E8">
        <w:t xml:space="preserve"> to move into paid employment, and have an Education, Health and Care Plan (EHCP).</w:t>
      </w:r>
      <w:r w:rsidR="00B422C5">
        <w:t xml:space="preserve">  </w:t>
      </w:r>
      <w:r w:rsidRPr="00D149E8">
        <w:t xml:space="preserve">This is a document which details the educational, health and social care needs of a child or young person and sets out the provision required to meet those needs. </w:t>
      </w:r>
    </w:p>
    <w:p w14:paraId="4F430084" w14:textId="772BA2DF" w:rsidR="00D149E8" w:rsidRDefault="00D149E8" w:rsidP="00D149E8">
      <w:r w:rsidRPr="00D149E8">
        <w:t>We support young adults aged 16-25 on our p</w:t>
      </w:r>
      <w:r>
        <w:t>rogramme, w</w:t>
      </w:r>
      <w:r w:rsidR="00B422C5">
        <w:t>hich includes</w:t>
      </w:r>
      <w:r>
        <w:t xml:space="preserve"> the additional option of completing functional skills maths and English</w:t>
      </w:r>
      <w:r w:rsidR="006E37CF">
        <w:t>.</w:t>
      </w:r>
    </w:p>
    <w:p w14:paraId="01783D6A" w14:textId="0487E28B" w:rsidR="00795670" w:rsidRDefault="00324107" w:rsidP="00D149E8">
      <w:r w:rsidRPr="00324107">
        <w:t xml:space="preserve">The </w:t>
      </w:r>
      <w:r>
        <w:t>Shaw Trust</w:t>
      </w:r>
      <w:r w:rsidRPr="00324107">
        <w:t xml:space="preserve"> will ensure that it meets its requirements under the Equality Act. </w:t>
      </w:r>
      <w:r w:rsidR="00B422C5">
        <w:t xml:space="preserve"> </w:t>
      </w:r>
      <w:r w:rsidRPr="00324107">
        <w:t xml:space="preserve">This means that we will ensure that all applicants are treated fairly and given equal opportunities to apply for </w:t>
      </w:r>
      <w:r>
        <w:t>the programme</w:t>
      </w:r>
      <w:r w:rsidR="00795670">
        <w:t>.</w:t>
      </w:r>
      <w:r w:rsidRPr="00324107">
        <w:t xml:space="preserve"> </w:t>
      </w:r>
      <w:r w:rsidR="00B422C5">
        <w:t xml:space="preserve"> </w:t>
      </w:r>
      <w:r w:rsidRPr="00324107">
        <w:t>Within the Equality Act particular attention is given to ensure the following protected characteristics are supported</w:t>
      </w:r>
      <w:r w:rsidR="00BF05ED">
        <w:t xml:space="preserve"> (not limited to)</w:t>
      </w:r>
      <w:r w:rsidRPr="00324107">
        <w:t xml:space="preserve">: </w:t>
      </w:r>
    </w:p>
    <w:p w14:paraId="3672AB93" w14:textId="0C0DB822" w:rsidR="00795670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Sex </w:t>
      </w:r>
    </w:p>
    <w:p w14:paraId="1F2A7652" w14:textId="055D9944" w:rsidR="00795670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Disability </w:t>
      </w:r>
    </w:p>
    <w:p w14:paraId="082163DB" w14:textId="72CD7FEB" w:rsidR="00795670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Gender reassignment </w:t>
      </w:r>
    </w:p>
    <w:p w14:paraId="22A5EB4E" w14:textId="50B15FBE" w:rsidR="00795670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Race </w:t>
      </w:r>
    </w:p>
    <w:p w14:paraId="0D7EF8A3" w14:textId="3FB2E227" w:rsidR="00BF05ED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Religion or belief </w:t>
      </w:r>
    </w:p>
    <w:p w14:paraId="496EE785" w14:textId="4C9ABBBF" w:rsidR="00324107" w:rsidRDefault="00324107" w:rsidP="00D149E8">
      <w:r w:rsidRPr="00324107">
        <w:t xml:space="preserve">• </w:t>
      </w:r>
      <w:r w:rsidR="00B422C5">
        <w:t xml:space="preserve"> </w:t>
      </w:r>
      <w:r w:rsidRPr="00324107">
        <w:t xml:space="preserve">Sexual orientation </w:t>
      </w:r>
    </w:p>
    <w:p w14:paraId="73AA819A" w14:textId="77777777" w:rsidR="006E37CF" w:rsidRDefault="006E37CF" w:rsidP="00D149E8"/>
    <w:p w14:paraId="511C8394" w14:textId="4DF09B02" w:rsidR="006E37CF" w:rsidRDefault="006E37CF" w:rsidP="006E37CF">
      <w:pPr>
        <w:pStyle w:val="ListParagraph"/>
        <w:numPr>
          <w:ilvl w:val="0"/>
          <w:numId w:val="2"/>
        </w:numPr>
        <w:ind w:left="284"/>
      </w:pPr>
      <w:r w:rsidRPr="006E37CF">
        <w:t xml:space="preserve">Admissions Criteria </w:t>
      </w:r>
    </w:p>
    <w:p w14:paraId="4411073D" w14:textId="16C69069" w:rsidR="006E37CF" w:rsidRDefault="006E37CF" w:rsidP="006E37CF">
      <w:r>
        <w:t>Shaw Trust</w:t>
      </w:r>
      <w:r w:rsidRPr="006E37CF">
        <w:t xml:space="preserve"> will admit young people aged 16 to 25 with a </w:t>
      </w:r>
      <w:r>
        <w:t xml:space="preserve">Special Education Need or Disability </w:t>
      </w:r>
      <w:r w:rsidRPr="00B422C5">
        <w:rPr>
          <w:b/>
          <w:bCs/>
        </w:rPr>
        <w:t>and</w:t>
      </w:r>
      <w:r>
        <w:t xml:space="preserve"> hold a current Education and Health Care Plan (EHCP).</w:t>
      </w:r>
      <w:r w:rsidR="00B422C5">
        <w:t xml:space="preserve"> </w:t>
      </w:r>
      <w:r>
        <w:t xml:space="preserve"> </w:t>
      </w:r>
      <w:r w:rsidRPr="006E37CF">
        <w:t>As part of the process of finalising an EHC Plan, parents/carers/learner</w:t>
      </w:r>
      <w:r w:rsidR="00B422C5">
        <w:t>s</w:t>
      </w:r>
      <w:r>
        <w:t xml:space="preserve"> </w:t>
      </w:r>
      <w:r w:rsidRPr="006E37CF">
        <w:t xml:space="preserve">have the right to request the </w:t>
      </w:r>
      <w:r w:rsidRPr="006E37CF">
        <w:lastRenderedPageBreak/>
        <w:t xml:space="preserve">Local Authority that maintains the plan to name their preferred </w:t>
      </w:r>
      <w:r>
        <w:t xml:space="preserve">provision </w:t>
      </w:r>
      <w:r w:rsidRPr="006E37CF">
        <w:t xml:space="preserve">(s 38 (2) (b) (ii) Children and Families Act (C and F Act)). </w:t>
      </w:r>
      <w:r w:rsidR="00B422C5">
        <w:t xml:space="preserve"> </w:t>
      </w:r>
      <w:r w:rsidRPr="006E37CF">
        <w:t xml:space="preserve">Where </w:t>
      </w:r>
      <w:r>
        <w:t>Shaw Trust</w:t>
      </w:r>
      <w:r w:rsidRPr="006E37CF">
        <w:t xml:space="preserve"> is given as a preference, the Local Authority will be required to consult with the </w:t>
      </w:r>
      <w:r w:rsidR="00AB5B29">
        <w:t>Manager of that site</w:t>
      </w:r>
      <w:r w:rsidRPr="006E37CF">
        <w:t xml:space="preserve"> (s 39 (2) C and F Act). </w:t>
      </w:r>
      <w:r w:rsidR="00B422C5">
        <w:t xml:space="preserve"> </w:t>
      </w:r>
      <w:r w:rsidRPr="006E37CF">
        <w:t>The Local Authority is required to name the parent/carers preference in the EHC plan unless it can show one of the following apply (s 39 (4) C and F Act):</w:t>
      </w:r>
    </w:p>
    <w:p w14:paraId="12704D63" w14:textId="5D8680F2" w:rsidR="00AB5B29" w:rsidRDefault="00AB5B29" w:rsidP="006E37CF">
      <w:r w:rsidRPr="00AB5B29">
        <w:t xml:space="preserve">• </w:t>
      </w:r>
      <w:r w:rsidR="00B422C5">
        <w:t xml:space="preserve"> </w:t>
      </w:r>
      <w:r w:rsidRPr="00AB5B29">
        <w:t xml:space="preserve">That the proposed placement is unsuitable to the age, ability, aptitude and SEN of the young person. </w:t>
      </w:r>
    </w:p>
    <w:p w14:paraId="51161C17" w14:textId="05B31B43" w:rsidR="00AB5B29" w:rsidRDefault="00AB5B29" w:rsidP="006E37CF">
      <w:r w:rsidRPr="00AB5B29">
        <w:t xml:space="preserve">• </w:t>
      </w:r>
      <w:r w:rsidR="00B422C5">
        <w:t xml:space="preserve"> </w:t>
      </w:r>
      <w:r w:rsidRPr="00AB5B29">
        <w:t>Naming the proposed placement is incompatible with i) the efficient education of other young people in the setting, and/or ii) the efficient use of resources</w:t>
      </w:r>
      <w:r w:rsidR="00B422C5">
        <w:t>.</w:t>
      </w:r>
    </w:p>
    <w:p w14:paraId="0F49CE72" w14:textId="4BCEB19E" w:rsidR="002806BE" w:rsidRDefault="00AB5B29" w:rsidP="00D149E8">
      <w:r w:rsidRPr="00AB5B29">
        <w:t xml:space="preserve">Each application to </w:t>
      </w:r>
      <w:r w:rsidR="00B4285D">
        <w:t>Shaw Trust Supported Internship</w:t>
      </w:r>
      <w:r w:rsidRPr="00AB5B29">
        <w:t xml:space="preserve"> is considered on an individual basis. </w:t>
      </w:r>
      <w:r w:rsidR="00B422C5">
        <w:t xml:space="preserve"> </w:t>
      </w:r>
      <w:r w:rsidRPr="00AB5B29">
        <w:t xml:space="preserve">In every case, our admissions process evaluates the needs of the individual young person and determines whether the </w:t>
      </w:r>
      <w:r w:rsidR="002806BE">
        <w:t>Shaw Trust</w:t>
      </w:r>
      <w:r w:rsidRPr="00AB5B29">
        <w:t xml:space="preserve"> can meet the special educational needs (SEN), provide the special educational provision (SEP) and meet the outcomes in the young </w:t>
      </w:r>
      <w:r w:rsidR="009565F4" w:rsidRPr="00AB5B29">
        <w:t>person’s</w:t>
      </w:r>
      <w:r w:rsidRPr="00AB5B29">
        <w:t xml:space="preserve"> EHC Plan with reference to the factors set out above in s 39 (4) of the C and F Act. </w:t>
      </w:r>
    </w:p>
    <w:p w14:paraId="120113C3" w14:textId="77777777" w:rsidR="002806BE" w:rsidRDefault="00AB5B29" w:rsidP="00D149E8">
      <w:r w:rsidRPr="00AB5B29">
        <w:t xml:space="preserve">Additionally, the following factors will be considered: </w:t>
      </w:r>
    </w:p>
    <w:p w14:paraId="4A99E8E9" w14:textId="7D5C87B8" w:rsidR="007A6F18" w:rsidRDefault="00AB5B29" w:rsidP="00D149E8">
      <w:r w:rsidRPr="00AB5B29">
        <w:t xml:space="preserve">• </w:t>
      </w:r>
      <w:r w:rsidR="009565F4">
        <w:t xml:space="preserve"> </w:t>
      </w:r>
      <w:r w:rsidRPr="00AB5B29">
        <w:t xml:space="preserve">Whether the </w:t>
      </w:r>
      <w:r w:rsidR="002806BE">
        <w:t>Shaw Trust</w:t>
      </w:r>
      <w:r w:rsidRPr="00AB5B29">
        <w:t xml:space="preserve"> may need to provide additional support for a young person whose safety or that of others is unusually at risk. </w:t>
      </w:r>
      <w:r w:rsidR="009565F4">
        <w:t xml:space="preserve"> </w:t>
      </w:r>
      <w:r w:rsidRPr="00AB5B29">
        <w:t xml:space="preserve">This would not necessarily prevent admission. </w:t>
      </w:r>
      <w:r w:rsidR="009565F4">
        <w:t xml:space="preserve"> </w:t>
      </w:r>
      <w:r w:rsidRPr="00AB5B29">
        <w:t>The additional support would be determined by assessment with the cost of the placement adjusted accordingly.</w:t>
      </w:r>
    </w:p>
    <w:p w14:paraId="749548BE" w14:textId="3510B7D8" w:rsidR="00D149E8" w:rsidRDefault="00AB5B29" w:rsidP="00D149E8">
      <w:r w:rsidRPr="00AB5B29">
        <w:t xml:space="preserve"> • </w:t>
      </w:r>
      <w:r w:rsidR="009565F4">
        <w:t xml:space="preserve"> </w:t>
      </w:r>
      <w:r w:rsidRPr="00AB5B29">
        <w:t xml:space="preserve">The distance from the </w:t>
      </w:r>
      <w:r w:rsidR="00B422C5">
        <w:t xml:space="preserve">site </w:t>
      </w:r>
      <w:r w:rsidRPr="00AB5B29">
        <w:t xml:space="preserve">and the time </w:t>
      </w:r>
      <w:r w:rsidR="009565F4">
        <w:t>to</w:t>
      </w:r>
      <w:r w:rsidRPr="00AB5B29">
        <w:t xml:space="preserve"> travel will be considered during the admissions process and any concerns reported.</w:t>
      </w:r>
    </w:p>
    <w:p w14:paraId="2A09EB0D" w14:textId="77777777" w:rsidR="00EE091D" w:rsidRDefault="00EE091D" w:rsidP="00D149E8"/>
    <w:p w14:paraId="45CC01C4" w14:textId="1417F783" w:rsidR="00EE091D" w:rsidRPr="00D149E8" w:rsidRDefault="001103C3" w:rsidP="00D149E8">
      <w:r>
        <w:t>3</w:t>
      </w:r>
      <w:r w:rsidR="003C07C7">
        <w:t>.</w:t>
      </w:r>
      <w:r>
        <w:t xml:space="preserve"> </w:t>
      </w:r>
      <w:r w:rsidR="003C07C7">
        <w:t>Admissions Process</w:t>
      </w:r>
    </w:p>
    <w:p w14:paraId="52D6D226" w14:textId="5D69A48C" w:rsidR="00BD39C6" w:rsidRDefault="00B21BD2" w:rsidP="00BD39C6">
      <w:r>
        <w:t xml:space="preserve">Initially the young person/parents/carers must </w:t>
      </w:r>
      <w:r w:rsidR="00A8292A">
        <w:t>complete</w:t>
      </w:r>
      <w:r w:rsidR="00A8292A" w:rsidRPr="00A8292A">
        <w:t xml:space="preserve"> an expression of interest / application form online</w:t>
      </w:r>
      <w:r w:rsidR="009565F4">
        <w:t>,</w:t>
      </w:r>
      <w:r w:rsidR="00A8292A" w:rsidRPr="00A8292A">
        <w:t xml:space="preserve"> or </w:t>
      </w:r>
      <w:r w:rsidR="00A8292A">
        <w:t xml:space="preserve">a </w:t>
      </w:r>
      <w:r w:rsidR="00A8292A" w:rsidRPr="00A8292A">
        <w:t xml:space="preserve">paper version </w:t>
      </w:r>
      <w:r w:rsidR="00BD39C6">
        <w:t xml:space="preserve">is available </w:t>
      </w:r>
      <w:r w:rsidR="00A8292A" w:rsidRPr="00A8292A">
        <w:t>from</w:t>
      </w:r>
      <w:r w:rsidR="00BD39C6">
        <w:t xml:space="preserve"> each</w:t>
      </w:r>
      <w:r w:rsidR="00A8292A" w:rsidRPr="00A8292A">
        <w:t xml:space="preserve"> site</w:t>
      </w:r>
      <w:r w:rsidR="00B422C5">
        <w:t>.</w:t>
      </w:r>
    </w:p>
    <w:p w14:paraId="4738F758" w14:textId="77777777" w:rsidR="009565F4" w:rsidRDefault="00BD39C6" w:rsidP="00CF6269">
      <w:r>
        <w:t xml:space="preserve">After receiving the expression of </w:t>
      </w:r>
      <w:r w:rsidR="009565F4">
        <w:t>interest,</w:t>
      </w:r>
      <w:r>
        <w:t xml:space="preserve"> </w:t>
      </w:r>
      <w:r w:rsidR="00A205AB">
        <w:t xml:space="preserve">they will receive an </w:t>
      </w:r>
      <w:r w:rsidR="00A8292A" w:rsidRPr="00A8292A">
        <w:t>invit</w:t>
      </w:r>
      <w:r w:rsidR="00B422C5">
        <w:t>ation</w:t>
      </w:r>
      <w:r w:rsidR="00A8292A" w:rsidRPr="00A8292A">
        <w:t xml:space="preserve"> to assessment at site </w:t>
      </w:r>
      <w:r w:rsidR="00A205AB">
        <w:t>where they will</w:t>
      </w:r>
      <w:r w:rsidR="009565F4">
        <w:t>:</w:t>
      </w:r>
    </w:p>
    <w:p w14:paraId="2754B4A9" w14:textId="5304764A" w:rsidR="009565F4" w:rsidRDefault="00A205AB" w:rsidP="009565F4">
      <w:pPr>
        <w:pStyle w:val="ListParagraph"/>
        <w:numPr>
          <w:ilvl w:val="0"/>
          <w:numId w:val="4"/>
        </w:numPr>
      </w:pPr>
      <w:r>
        <w:t>talk to staff about the programme</w:t>
      </w:r>
      <w:r w:rsidR="009565F4">
        <w:t xml:space="preserve"> </w:t>
      </w:r>
    </w:p>
    <w:p w14:paraId="2BDDD0AD" w14:textId="4FEB4A24" w:rsidR="009565F4" w:rsidRDefault="009565F4" w:rsidP="009565F4">
      <w:pPr>
        <w:pStyle w:val="ListParagraph"/>
        <w:numPr>
          <w:ilvl w:val="0"/>
          <w:numId w:val="4"/>
        </w:numPr>
      </w:pPr>
      <w:r>
        <w:t>complete an</w:t>
      </w:r>
      <w:r w:rsidR="00625616">
        <w:t xml:space="preserve"> initial </w:t>
      </w:r>
      <w:r w:rsidR="00BB41A0">
        <w:t xml:space="preserve">assessment of their </w:t>
      </w:r>
      <w:r w:rsidR="00A8292A" w:rsidRPr="00A8292A">
        <w:t>maths and English</w:t>
      </w:r>
      <w:r>
        <w:t xml:space="preserve"> skills</w:t>
      </w:r>
      <w:r w:rsidR="00A8292A" w:rsidRPr="00A8292A">
        <w:t xml:space="preserve"> </w:t>
      </w:r>
      <w:r w:rsidR="00BB41A0">
        <w:t>(</w:t>
      </w:r>
      <w:r w:rsidR="00A8292A" w:rsidRPr="00A8292A">
        <w:t>BKSB)</w:t>
      </w:r>
    </w:p>
    <w:p w14:paraId="438824B3" w14:textId="0677E598" w:rsidR="009565F4" w:rsidRDefault="009565F4" w:rsidP="009565F4">
      <w:pPr>
        <w:pStyle w:val="ListParagraph"/>
        <w:numPr>
          <w:ilvl w:val="0"/>
          <w:numId w:val="4"/>
        </w:numPr>
      </w:pPr>
      <w:r>
        <w:t>participate in</w:t>
      </w:r>
      <w:r w:rsidR="007336D7">
        <w:t xml:space="preserve"> p</w:t>
      </w:r>
      <w:r w:rsidR="00A8292A" w:rsidRPr="00A8292A">
        <w:t>ractical activities to assess communication</w:t>
      </w:r>
      <w:r w:rsidR="00581B2C">
        <w:t xml:space="preserve">, teamwork and </w:t>
      </w:r>
      <w:r>
        <w:t>wider softer</w:t>
      </w:r>
      <w:r w:rsidR="00581B2C">
        <w:t xml:space="preserve"> skills</w:t>
      </w:r>
      <w:r>
        <w:t>.</w:t>
      </w:r>
    </w:p>
    <w:p w14:paraId="181E1302" w14:textId="7497C58B" w:rsidR="009565F4" w:rsidRDefault="009565F4" w:rsidP="009565F4">
      <w:pPr>
        <w:pStyle w:val="ListParagraph"/>
        <w:numPr>
          <w:ilvl w:val="0"/>
          <w:numId w:val="4"/>
        </w:numPr>
      </w:pPr>
      <w:r>
        <w:lastRenderedPageBreak/>
        <w:t>c</w:t>
      </w:r>
      <w:r w:rsidR="00A8292A" w:rsidRPr="00A8292A">
        <w:t>omplete</w:t>
      </w:r>
      <w:r>
        <w:t>, with support,</w:t>
      </w:r>
      <w:r w:rsidR="00A8292A" w:rsidRPr="00A8292A">
        <w:t xml:space="preserve"> a vocational profile </w:t>
      </w:r>
      <w:r w:rsidR="00581B2C">
        <w:t xml:space="preserve">to </w:t>
      </w:r>
      <w:r>
        <w:t>identify</w:t>
      </w:r>
      <w:r w:rsidR="00A8292A" w:rsidRPr="00A8292A">
        <w:t xml:space="preserve"> career ambition </w:t>
      </w:r>
      <w:r w:rsidR="008F1B3C">
        <w:t>and</w:t>
      </w:r>
      <w:r w:rsidR="00A8292A" w:rsidRPr="00A8292A">
        <w:t xml:space="preserve"> </w:t>
      </w:r>
      <w:r>
        <w:t xml:space="preserve">that </w:t>
      </w:r>
      <w:r w:rsidR="00A8292A" w:rsidRPr="00A8292A">
        <w:t xml:space="preserve"> paid </w:t>
      </w:r>
      <w:r w:rsidR="00CF6269" w:rsidRPr="00A8292A">
        <w:t>work</w:t>
      </w:r>
      <w:r>
        <w:t xml:space="preserve"> is the desired outcome.</w:t>
      </w:r>
    </w:p>
    <w:p w14:paraId="737026C3" w14:textId="54CBEBB2" w:rsidR="00A8292A" w:rsidRPr="00A8292A" w:rsidRDefault="00CF6269" w:rsidP="009565F4">
      <w:r>
        <w:t>We will also facilitate a d</w:t>
      </w:r>
      <w:r w:rsidR="00A8292A" w:rsidRPr="00A8292A">
        <w:t>iscuss</w:t>
      </w:r>
      <w:r>
        <w:t>ion around</w:t>
      </w:r>
      <w:r w:rsidR="00A8292A" w:rsidRPr="00A8292A">
        <w:t xml:space="preserve"> support requirements to confirm we can meet th</w:t>
      </w:r>
      <w:r w:rsidR="00284FF5">
        <w:t>eir needs.</w:t>
      </w:r>
    </w:p>
    <w:p w14:paraId="308BFCDA" w14:textId="08AE45F7" w:rsidR="00A8292A" w:rsidRPr="00A8292A" w:rsidRDefault="00284FF5" w:rsidP="00284FF5">
      <w:r>
        <w:t>We will i</w:t>
      </w:r>
      <w:r w:rsidR="00A8292A" w:rsidRPr="00A8292A">
        <w:t>nform within 10 days</w:t>
      </w:r>
      <w:r w:rsidR="009565F4">
        <w:t xml:space="preserve">, </w:t>
      </w:r>
      <w:r w:rsidR="00A8292A" w:rsidRPr="00A8292A">
        <w:t>in writing</w:t>
      </w:r>
      <w:r w:rsidR="00A446CA">
        <w:t xml:space="preserve"> an outcome</w:t>
      </w:r>
      <w:r w:rsidR="009565F4">
        <w:t xml:space="preserve"> of the assessment</w:t>
      </w:r>
      <w:r w:rsidR="00A446CA">
        <w:t>.</w:t>
      </w:r>
      <w:r w:rsidR="009565F4">
        <w:t xml:space="preserve"> </w:t>
      </w:r>
      <w:r w:rsidR="00A446CA">
        <w:t xml:space="preserve"> Where the person is </w:t>
      </w:r>
      <w:r w:rsidR="003977C2">
        <w:t>unsuccessful,</w:t>
      </w:r>
      <w:r w:rsidR="00A446CA">
        <w:t xml:space="preserve"> we will</w:t>
      </w:r>
      <w:r w:rsidR="009565F4">
        <w:t xml:space="preserve">, where possible, </w:t>
      </w:r>
      <w:r w:rsidR="00A8292A" w:rsidRPr="00A8292A">
        <w:t>signpost to an alternative provision</w:t>
      </w:r>
      <w:r w:rsidR="005177F3">
        <w:t>.</w:t>
      </w:r>
    </w:p>
    <w:p w14:paraId="05701456" w14:textId="3D5931DC" w:rsidR="00A8292A" w:rsidRPr="00A8292A" w:rsidRDefault="005177F3" w:rsidP="005177F3">
      <w:r>
        <w:t xml:space="preserve">If they are </w:t>
      </w:r>
      <w:r w:rsidR="003977C2">
        <w:t>successful,</w:t>
      </w:r>
      <w:r>
        <w:t xml:space="preserve"> we will o</w:t>
      </w:r>
      <w:r w:rsidR="00A8292A" w:rsidRPr="00A8292A">
        <w:t xml:space="preserve">ffer of place subject to LA </w:t>
      </w:r>
      <w:r w:rsidR="0053532C">
        <w:t>consultation and funding</w:t>
      </w:r>
      <w:r w:rsidR="00A8292A" w:rsidRPr="00A8292A">
        <w:t>.</w:t>
      </w:r>
    </w:p>
    <w:p w14:paraId="37C8D240" w14:textId="366C8015" w:rsidR="00A8292A" w:rsidRPr="00A8292A" w:rsidRDefault="00916CD0" w:rsidP="005177F3">
      <w:r>
        <w:t>Once we are named in t</w:t>
      </w:r>
      <w:r w:rsidR="009B6281">
        <w:t xml:space="preserve">he young </w:t>
      </w:r>
      <w:r w:rsidR="009565F4">
        <w:t>person’s</w:t>
      </w:r>
      <w:r w:rsidR="009B6281">
        <w:t xml:space="preserve"> EHCP as the education provider, w</w:t>
      </w:r>
      <w:r w:rsidR="003977C2">
        <w:t>e will then arrange a s</w:t>
      </w:r>
      <w:r w:rsidR="00A8292A" w:rsidRPr="00A8292A">
        <w:t>tart date</w:t>
      </w:r>
      <w:r w:rsidR="003977C2">
        <w:t>.</w:t>
      </w:r>
    </w:p>
    <w:p w14:paraId="42A9D9BE" w14:textId="77777777" w:rsidR="00A8292A" w:rsidRDefault="00A8292A" w:rsidP="003D199F"/>
    <w:p w14:paraId="5635422B" w14:textId="284D9A83" w:rsidR="006D3CBB" w:rsidRDefault="003456C1" w:rsidP="003D199F">
      <w:r>
        <w:t>4. Data Protection</w:t>
      </w:r>
    </w:p>
    <w:p w14:paraId="701D1F7B" w14:textId="7B7A641E" w:rsidR="003456C1" w:rsidRDefault="003456C1" w:rsidP="003D199F">
      <w:r w:rsidRPr="003456C1">
        <w:t xml:space="preserve">Data collected during the admission and enrolment process will comply with the current legislation concerning data protection. </w:t>
      </w:r>
      <w:r w:rsidR="001A3692">
        <w:br/>
      </w:r>
      <w:r w:rsidRPr="003456C1">
        <w:t>The minimum data required will be sought.</w:t>
      </w:r>
      <w:r w:rsidR="001A3692">
        <w:t xml:space="preserve"> </w:t>
      </w:r>
      <w:r w:rsidR="009565F4">
        <w:t xml:space="preserve"> </w:t>
      </w:r>
      <w:r w:rsidRPr="003456C1">
        <w:t xml:space="preserve">Data will be kept secure and confidential and only used for the purposes for which it was collected. </w:t>
      </w:r>
      <w:r w:rsidR="001A3692">
        <w:br/>
      </w:r>
      <w:r w:rsidRPr="003456C1">
        <w:t xml:space="preserve">Data will be destroyed after the period of time it is no longer needed as evidence for auditors. </w:t>
      </w:r>
    </w:p>
    <w:p w14:paraId="2270326F" w14:textId="77777777" w:rsidR="001A3692" w:rsidRDefault="001A3692" w:rsidP="003D199F"/>
    <w:p w14:paraId="7D0DE628" w14:textId="3CFD07C5" w:rsidR="001A3692" w:rsidRDefault="001A3692" w:rsidP="003D199F">
      <w:r>
        <w:t>5. Appeals Procedure</w:t>
      </w:r>
    </w:p>
    <w:p w14:paraId="2572B7AC" w14:textId="6AE6AEC4" w:rsidR="001A3692" w:rsidRDefault="00354059" w:rsidP="003D199F">
      <w:r w:rsidRPr="00354059">
        <w:t>Applicants or their parents/guardian or next of kin</w:t>
      </w:r>
      <w:r>
        <w:t xml:space="preserve"> </w:t>
      </w:r>
      <w:r w:rsidRPr="00354059">
        <w:t>have the right to appeal against a decision which has been made as part of the admissions process.</w:t>
      </w:r>
      <w:r w:rsidR="009565F4">
        <w:t xml:space="preserve"> However, a</w:t>
      </w:r>
      <w:r w:rsidRPr="00354059">
        <w:t>pplicants cannot appeal against academic decisions</w:t>
      </w:r>
      <w:r w:rsidR="00202123">
        <w:t xml:space="preserve">. These should be firstly raised with the site manager and operations manager.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2405"/>
        <w:gridCol w:w="1340"/>
        <w:gridCol w:w="1376"/>
        <w:gridCol w:w="1340"/>
        <w:gridCol w:w="1292"/>
      </w:tblGrid>
      <w:tr w:rsidR="009565F4" w14:paraId="64C5027F" w14:textId="77777777" w:rsidTr="001B11F8">
        <w:tc>
          <w:tcPr>
            <w:tcW w:w="1502" w:type="dxa"/>
          </w:tcPr>
          <w:p w14:paraId="30F10E9D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Version</w:t>
            </w:r>
          </w:p>
        </w:tc>
        <w:tc>
          <w:tcPr>
            <w:tcW w:w="1502" w:type="dxa"/>
          </w:tcPr>
          <w:p w14:paraId="2ACA7394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Details of amendments/change</w:t>
            </w:r>
          </w:p>
        </w:tc>
        <w:tc>
          <w:tcPr>
            <w:tcW w:w="1503" w:type="dxa"/>
          </w:tcPr>
          <w:p w14:paraId="33C0C6BD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Formal Approval required</w:t>
            </w:r>
          </w:p>
        </w:tc>
        <w:tc>
          <w:tcPr>
            <w:tcW w:w="1503" w:type="dxa"/>
          </w:tcPr>
          <w:p w14:paraId="05950F90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Approved by</w:t>
            </w:r>
          </w:p>
        </w:tc>
        <w:tc>
          <w:tcPr>
            <w:tcW w:w="1503" w:type="dxa"/>
          </w:tcPr>
          <w:p w14:paraId="4282C50E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Date of Approval</w:t>
            </w:r>
          </w:p>
        </w:tc>
        <w:tc>
          <w:tcPr>
            <w:tcW w:w="1503" w:type="dxa"/>
          </w:tcPr>
          <w:p w14:paraId="2DCE7757" w14:textId="77777777" w:rsidR="009565F4" w:rsidRPr="003B380E" w:rsidRDefault="009565F4" w:rsidP="001B11F8">
            <w:pPr>
              <w:rPr>
                <w:rFonts w:ascii="Arial" w:eastAsia="Arial" w:hAnsi="Arial" w:cs="Arial"/>
                <w:b/>
                <w:bCs/>
              </w:rPr>
            </w:pPr>
            <w:r w:rsidRPr="003B380E">
              <w:rPr>
                <w:rFonts w:ascii="Arial" w:eastAsia="Arial" w:hAnsi="Arial" w:cs="Arial"/>
                <w:b/>
                <w:bCs/>
              </w:rPr>
              <w:t>Date adopted</w:t>
            </w:r>
          </w:p>
        </w:tc>
      </w:tr>
      <w:tr w:rsidR="009565F4" w14:paraId="6C36BA38" w14:textId="77777777" w:rsidTr="001B11F8">
        <w:tc>
          <w:tcPr>
            <w:tcW w:w="1502" w:type="dxa"/>
          </w:tcPr>
          <w:p w14:paraId="74FD9D52" w14:textId="77777777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502" w:type="dxa"/>
          </w:tcPr>
          <w:p w14:paraId="4089552A" w14:textId="77777777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New policy document</w:t>
            </w:r>
          </w:p>
        </w:tc>
        <w:tc>
          <w:tcPr>
            <w:tcW w:w="1503" w:type="dxa"/>
          </w:tcPr>
          <w:p w14:paraId="6F950831" w14:textId="77777777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503" w:type="dxa"/>
          </w:tcPr>
          <w:p w14:paraId="43683B22" w14:textId="77777777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Asst Director</w:t>
            </w:r>
          </w:p>
        </w:tc>
        <w:tc>
          <w:tcPr>
            <w:tcW w:w="1503" w:type="dxa"/>
          </w:tcPr>
          <w:p w14:paraId="10B16098" w14:textId="11F2AC76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10/9/25</w:t>
            </w:r>
          </w:p>
        </w:tc>
        <w:tc>
          <w:tcPr>
            <w:tcW w:w="1503" w:type="dxa"/>
          </w:tcPr>
          <w:p w14:paraId="7FD36781" w14:textId="595FC505" w:rsidR="009565F4" w:rsidRDefault="009565F4" w:rsidP="001B11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10/9/25</w:t>
            </w:r>
          </w:p>
        </w:tc>
      </w:tr>
      <w:tr w:rsidR="009565F4" w14:paraId="45E780DC" w14:textId="77777777" w:rsidTr="001B11F8">
        <w:tc>
          <w:tcPr>
            <w:tcW w:w="1502" w:type="dxa"/>
          </w:tcPr>
          <w:p w14:paraId="0A92E803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</w:tcPr>
          <w:p w14:paraId="40DB83B2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40581DE1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0F7F0EE4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186B059D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5CC32822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</w:tr>
      <w:tr w:rsidR="009565F4" w14:paraId="0E957096" w14:textId="77777777" w:rsidTr="001B11F8">
        <w:tc>
          <w:tcPr>
            <w:tcW w:w="1502" w:type="dxa"/>
          </w:tcPr>
          <w:p w14:paraId="5D474FF6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</w:tcPr>
          <w:p w14:paraId="13D37A9E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3313C89B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1903A78C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3C3F530B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646194C7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</w:tr>
      <w:tr w:rsidR="009565F4" w14:paraId="5D71559F" w14:textId="77777777" w:rsidTr="001B11F8">
        <w:tc>
          <w:tcPr>
            <w:tcW w:w="1502" w:type="dxa"/>
          </w:tcPr>
          <w:p w14:paraId="160CD940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</w:tcPr>
          <w:p w14:paraId="05F72CEB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7682DD7A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157794AC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278F4DFF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3FAFFC5D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</w:tr>
      <w:tr w:rsidR="009565F4" w14:paraId="6DA8939A" w14:textId="77777777" w:rsidTr="001B11F8">
        <w:tc>
          <w:tcPr>
            <w:tcW w:w="1502" w:type="dxa"/>
          </w:tcPr>
          <w:p w14:paraId="5FEEACCC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</w:tcPr>
          <w:p w14:paraId="6267E77F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4728E7BA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074E9654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6CE9BA21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5D9664DE" w14:textId="77777777" w:rsidR="009565F4" w:rsidRDefault="009565F4" w:rsidP="001B11F8">
            <w:pPr>
              <w:rPr>
                <w:rFonts w:ascii="Arial" w:eastAsia="Arial" w:hAnsi="Arial" w:cs="Arial"/>
              </w:rPr>
            </w:pPr>
          </w:p>
        </w:tc>
      </w:tr>
    </w:tbl>
    <w:p w14:paraId="5B1E5B5F" w14:textId="77777777" w:rsidR="00202123" w:rsidRPr="003D199F" w:rsidRDefault="00202123" w:rsidP="003D199F"/>
    <w:sectPr w:rsidR="00202123" w:rsidRPr="003D19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BCB8" w14:textId="77777777" w:rsidR="00B422C5" w:rsidRDefault="00B422C5" w:rsidP="00B422C5">
      <w:pPr>
        <w:spacing w:after="0" w:line="240" w:lineRule="auto"/>
      </w:pPr>
      <w:r>
        <w:separator/>
      </w:r>
    </w:p>
  </w:endnote>
  <w:endnote w:type="continuationSeparator" w:id="0">
    <w:p w14:paraId="7E1635FC" w14:textId="77777777" w:rsidR="00B422C5" w:rsidRDefault="00B422C5" w:rsidP="00B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0DA2" w14:textId="77777777" w:rsidR="00B422C5" w:rsidRDefault="00B422C5">
    <w:pPr>
      <w:pStyle w:val="Footer"/>
    </w:pPr>
  </w:p>
  <w:p w14:paraId="4FFFF346" w14:textId="408497A9" w:rsidR="00B422C5" w:rsidRDefault="00B422C5">
    <w:pPr>
      <w:pStyle w:val="Footer"/>
    </w:pPr>
    <w:r>
      <w:t>Document Owner: Assistant Director – CYPS</w:t>
    </w:r>
  </w:p>
  <w:p w14:paraId="2788B06B" w14:textId="1536E0D5" w:rsidR="00B422C5" w:rsidRDefault="00B422C5">
    <w:pPr>
      <w:pStyle w:val="Footer"/>
    </w:pPr>
    <w:r>
      <w:t>Date: Sept 25</w:t>
    </w:r>
  </w:p>
  <w:p w14:paraId="686365AA" w14:textId="65D63625" w:rsidR="00B422C5" w:rsidRDefault="00B422C5">
    <w:pPr>
      <w:pStyle w:val="Footer"/>
    </w:pPr>
    <w:r>
      <w:t>Version:1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A488" w14:textId="77777777" w:rsidR="00B422C5" w:rsidRDefault="00B422C5" w:rsidP="00B422C5">
      <w:pPr>
        <w:spacing w:after="0" w:line="240" w:lineRule="auto"/>
      </w:pPr>
      <w:r>
        <w:separator/>
      </w:r>
    </w:p>
  </w:footnote>
  <w:footnote w:type="continuationSeparator" w:id="0">
    <w:p w14:paraId="26470D87" w14:textId="77777777" w:rsidR="00B422C5" w:rsidRDefault="00B422C5" w:rsidP="00B4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773" w14:textId="69635C66" w:rsidR="00B422C5" w:rsidRDefault="00B422C5">
    <w:pPr>
      <w:pStyle w:val="Header"/>
    </w:pPr>
    <w:sdt>
      <w:sdtPr>
        <w:id w:val="1203291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9C811B" wp14:editId="72E8341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1783406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1D035" w14:textId="77777777" w:rsidR="00B422C5" w:rsidRDefault="00B422C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9C811B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11D035" w14:textId="77777777" w:rsidR="00B422C5" w:rsidRDefault="00B422C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0F3CCD72" wp14:editId="2AA23EAB">
          <wp:extent cx="2131966" cy="659894"/>
          <wp:effectExtent l="0" t="0" r="0" b="0"/>
          <wp:docPr id="1962370791" name="Picture 164772935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7729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966" cy="659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34F"/>
    <w:multiLevelType w:val="multilevel"/>
    <w:tmpl w:val="576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24C2A"/>
    <w:multiLevelType w:val="multilevel"/>
    <w:tmpl w:val="57A0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5270B"/>
    <w:multiLevelType w:val="hybridMultilevel"/>
    <w:tmpl w:val="CFC68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77791"/>
    <w:multiLevelType w:val="hybridMultilevel"/>
    <w:tmpl w:val="A4BEA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877839">
    <w:abstractNumId w:val="0"/>
  </w:num>
  <w:num w:numId="2" w16cid:durableId="378866193">
    <w:abstractNumId w:val="2"/>
  </w:num>
  <w:num w:numId="3" w16cid:durableId="1300913130">
    <w:abstractNumId w:val="1"/>
  </w:num>
  <w:num w:numId="4" w16cid:durableId="163421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9F"/>
    <w:rsid w:val="001103C3"/>
    <w:rsid w:val="001A3692"/>
    <w:rsid w:val="00202123"/>
    <w:rsid w:val="002806BE"/>
    <w:rsid w:val="00284FF5"/>
    <w:rsid w:val="00324107"/>
    <w:rsid w:val="003456C1"/>
    <w:rsid w:val="00354059"/>
    <w:rsid w:val="003977C2"/>
    <w:rsid w:val="003C07C7"/>
    <w:rsid w:val="003D199F"/>
    <w:rsid w:val="005177F3"/>
    <w:rsid w:val="0053532C"/>
    <w:rsid w:val="00581B2C"/>
    <w:rsid w:val="005D1C20"/>
    <w:rsid w:val="005E15AF"/>
    <w:rsid w:val="005E4970"/>
    <w:rsid w:val="00625616"/>
    <w:rsid w:val="006D3CBB"/>
    <w:rsid w:val="006E37CF"/>
    <w:rsid w:val="007336D7"/>
    <w:rsid w:val="00795670"/>
    <w:rsid w:val="007A6F18"/>
    <w:rsid w:val="008F1B3C"/>
    <w:rsid w:val="00916CD0"/>
    <w:rsid w:val="009565F4"/>
    <w:rsid w:val="009B6281"/>
    <w:rsid w:val="009C20E6"/>
    <w:rsid w:val="00A205AB"/>
    <w:rsid w:val="00A446CA"/>
    <w:rsid w:val="00A8292A"/>
    <w:rsid w:val="00AB5B29"/>
    <w:rsid w:val="00B21BD2"/>
    <w:rsid w:val="00B422C5"/>
    <w:rsid w:val="00B4285D"/>
    <w:rsid w:val="00BB41A0"/>
    <w:rsid w:val="00BD39C6"/>
    <w:rsid w:val="00BF05ED"/>
    <w:rsid w:val="00CF6269"/>
    <w:rsid w:val="00D0129C"/>
    <w:rsid w:val="00D149E8"/>
    <w:rsid w:val="00D9675F"/>
    <w:rsid w:val="00E419FC"/>
    <w:rsid w:val="00EE091D"/>
    <w:rsid w:val="00FC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584BEA"/>
  <w15:chartTrackingRefBased/>
  <w15:docId w15:val="{5B952E9B-6B61-4E8F-91C9-D843D89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C5"/>
  </w:style>
  <w:style w:type="paragraph" w:styleId="Footer">
    <w:name w:val="footer"/>
    <w:basedOn w:val="Normal"/>
    <w:link w:val="FooterChar"/>
    <w:uiPriority w:val="99"/>
    <w:unhideWhenUsed/>
    <w:rsid w:val="00B4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C5"/>
  </w:style>
  <w:style w:type="table" w:styleId="TableGrid">
    <w:name w:val="Table Grid"/>
    <w:basedOn w:val="TableNormal"/>
    <w:uiPriority w:val="59"/>
    <w:rsid w:val="009565F4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6060A6237343AF93BCF29C5D3764" ma:contentTypeVersion="17" ma:contentTypeDescription="Create a new document." ma:contentTypeScope="" ma:versionID="ab017ea3d9b8a472120d0ec1a6a22bf3">
  <xsd:schema xmlns:xsd="http://www.w3.org/2001/XMLSchema" xmlns:xs="http://www.w3.org/2001/XMLSchema" xmlns:p="http://schemas.microsoft.com/office/2006/metadata/properties" xmlns:ns1="http://schemas.microsoft.com/sharepoint/v3" xmlns:ns2="c921a341-5e54-41f8-92a4-059fd50d8c44" xmlns:ns3="d3650e57-07c6-4a5b-856d-1f5bd75ae08a" targetNamespace="http://schemas.microsoft.com/office/2006/metadata/properties" ma:root="true" ma:fieldsID="4b6322aca963d2e57e7fc5d192bac2dd" ns1:_="" ns2:_="" ns3:_="">
    <xsd:import namespace="http://schemas.microsoft.com/sharepoint/v3"/>
    <xsd:import namespace="c921a341-5e54-41f8-92a4-059fd50d8c44"/>
    <xsd:import namespace="d3650e57-07c6-4a5b-856d-1f5bd75ae08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1a341-5e54-41f8-92a4-059fd50d8c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0e57-07c6-4a5b-856d-1f5bd75ae08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ad7115-f6b6-4230-9e34-2fe684a4784c}" ma:internalName="TaxCatchAll" ma:showField="CatchAllData" ma:web="d3650e57-07c6-4a5b-856d-1f5bd75ae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921a341-5e54-41f8-92a4-059fd50d8c44">
      <Terms xmlns="http://schemas.microsoft.com/office/infopath/2007/PartnerControls"/>
    </lcf76f155ced4ddcb4097134ff3c332f>
    <TaxCatchAll xmlns="d3650e57-07c6-4a5b-856d-1f5bd75ae08a" xsi:nil="true"/>
  </documentManagement>
</p:properties>
</file>

<file path=customXml/itemProps1.xml><?xml version="1.0" encoding="utf-8"?>
<ds:datastoreItem xmlns:ds="http://schemas.openxmlformats.org/officeDocument/2006/customXml" ds:itemID="{B1FF6399-12E7-43D5-B31F-311D91EF69B1}"/>
</file>

<file path=customXml/itemProps2.xml><?xml version="1.0" encoding="utf-8"?>
<ds:datastoreItem xmlns:ds="http://schemas.openxmlformats.org/officeDocument/2006/customXml" ds:itemID="{5AD7F60F-84F2-4904-9E22-709B24906D20}"/>
</file>

<file path=customXml/itemProps3.xml><?xml version="1.0" encoding="utf-8"?>
<ds:datastoreItem xmlns:ds="http://schemas.openxmlformats.org/officeDocument/2006/customXml" ds:itemID="{7D3E5CFE-BE56-41C9-B98B-AB9187D31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Lowe</dc:creator>
  <cp:keywords/>
  <dc:description/>
  <cp:lastModifiedBy>Andrea Jacob</cp:lastModifiedBy>
  <cp:revision>2</cp:revision>
  <dcterms:created xsi:type="dcterms:W3CDTF">2025-10-07T11:44:00Z</dcterms:created>
  <dcterms:modified xsi:type="dcterms:W3CDTF">2025-10-07T11:44:00Z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0x010100A3F06060A6237343AF93BCF29C5D3764</vt:lpwstr>
  </property>
</Properties>
</file>