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E06B" w14:textId="57E80CF6" w:rsidR="004D6E94" w:rsidRDefault="004D6E94" w:rsidP="004D6E94">
      <w:pPr>
        <w:jc w:val="center"/>
        <w:rPr>
          <w:b/>
          <w:bCs/>
          <w:sz w:val="28"/>
          <w:szCs w:val="28"/>
        </w:rPr>
      </w:pPr>
      <w:r>
        <w:rPr>
          <w:b/>
          <w:bCs/>
          <w:sz w:val="28"/>
          <w:szCs w:val="28"/>
        </w:rPr>
        <w:t>Supported Internship</w:t>
      </w:r>
    </w:p>
    <w:p w14:paraId="295AD46E" w14:textId="6AC74FC1" w:rsidR="004D6E94" w:rsidRPr="004D6E94" w:rsidRDefault="00642CA5" w:rsidP="004D6E94">
      <w:pPr>
        <w:jc w:val="center"/>
        <w:rPr>
          <w:b/>
          <w:bCs/>
          <w:sz w:val="28"/>
          <w:szCs w:val="28"/>
        </w:rPr>
      </w:pPr>
      <w:r>
        <w:rPr>
          <w:b/>
          <w:bCs/>
          <w:sz w:val="28"/>
          <w:szCs w:val="28"/>
        </w:rPr>
        <w:t xml:space="preserve">Exam </w:t>
      </w:r>
      <w:r w:rsidR="004D6E94">
        <w:rPr>
          <w:b/>
          <w:bCs/>
          <w:sz w:val="28"/>
          <w:szCs w:val="28"/>
        </w:rPr>
        <w:t>Access Arrangements Policy</w:t>
      </w:r>
    </w:p>
    <w:p w14:paraId="212B61A0" w14:textId="77777777" w:rsidR="004D6E94" w:rsidRDefault="004D6E94" w:rsidP="000748A8">
      <w:pPr>
        <w:rPr>
          <w:b/>
          <w:bCs/>
        </w:rPr>
      </w:pPr>
    </w:p>
    <w:p w14:paraId="7C5C1452" w14:textId="4A184C13" w:rsidR="00431710" w:rsidRPr="00104C08" w:rsidRDefault="00871F9C" w:rsidP="000748A8">
      <w:pPr>
        <w:rPr>
          <w:b/>
          <w:bCs/>
        </w:rPr>
      </w:pPr>
      <w:r w:rsidRPr="00104C08">
        <w:rPr>
          <w:b/>
          <w:bCs/>
        </w:rPr>
        <w:t xml:space="preserve">Introduction </w:t>
      </w:r>
    </w:p>
    <w:p w14:paraId="5BC2BD6A" w14:textId="1A4E6FFB" w:rsidR="00DC7621" w:rsidRDefault="00431710" w:rsidP="000748A8">
      <w:r>
        <w:t>Shaw Trust Supported Interns</w:t>
      </w:r>
      <w:r w:rsidR="004D6E94">
        <w:t>hip</w:t>
      </w:r>
      <w:r w:rsidR="00871F9C" w:rsidRPr="00871F9C">
        <w:t xml:space="preserve"> is committed to providing equal opportunities for all </w:t>
      </w:r>
      <w:r>
        <w:t>Interns</w:t>
      </w:r>
      <w:r w:rsidR="00871F9C" w:rsidRPr="00871F9C">
        <w:t xml:space="preserve"> in line with the SEND Code of Practice 2015, the Equalities Act 2010, and the Joint Council for Qualifications (JCQ) Regulations. </w:t>
      </w:r>
      <w:r w:rsidR="001454CC">
        <w:br/>
      </w:r>
      <w:r w:rsidR="00871F9C" w:rsidRPr="00871F9C">
        <w:t xml:space="preserve">Where students have a need which prevents them from accessing examinations, appropriate provision will be made. </w:t>
      </w:r>
    </w:p>
    <w:p w14:paraId="0F827ABF" w14:textId="77777777" w:rsidR="00DC7621" w:rsidRDefault="00DC7621" w:rsidP="000748A8"/>
    <w:p w14:paraId="22060DCA" w14:textId="77777777" w:rsidR="00DC7621" w:rsidRPr="00104C08" w:rsidRDefault="00871F9C" w:rsidP="000748A8">
      <w:pPr>
        <w:rPr>
          <w:b/>
          <w:bCs/>
        </w:rPr>
      </w:pPr>
      <w:r w:rsidRPr="00104C08">
        <w:rPr>
          <w:b/>
          <w:bCs/>
        </w:rPr>
        <w:t xml:space="preserve">What are Access Arrangements? </w:t>
      </w:r>
    </w:p>
    <w:p w14:paraId="53CE1A27" w14:textId="77777777" w:rsidR="00EB0A35" w:rsidRDefault="00871F9C" w:rsidP="000748A8">
      <w:r w:rsidRPr="00871F9C">
        <w:t xml:space="preserve">The purpose of an exam access arrangement (EAA) is to ensure, where possible, that barriers to assessment are removed for candidates with special educational needs and/or disabilities to prevent them from being placed at a substantial disadvantage as a consequence of persistent and significant difficulties. They are to ensure a level playing field to mitigate, where possible, the disadvantage imposed by the disability. They are not to give an unfair advantage. </w:t>
      </w:r>
      <w:r w:rsidR="00C6094A">
        <w:br/>
      </w:r>
      <w:r w:rsidRPr="00871F9C">
        <w:t xml:space="preserve">The integrity of the assessment is maintained, whilst at the same time providing access to assessments for a disabled candidate </w:t>
      </w:r>
      <w:r w:rsidR="000C4AEC">
        <w:br/>
      </w:r>
    </w:p>
    <w:p w14:paraId="7B418789" w14:textId="265D0178" w:rsidR="00D57B0A" w:rsidRPr="00104C08" w:rsidRDefault="00D57B0A" w:rsidP="000748A8">
      <w:pPr>
        <w:rPr>
          <w:b/>
          <w:bCs/>
        </w:rPr>
      </w:pPr>
      <w:r w:rsidRPr="00104C08">
        <w:rPr>
          <w:b/>
          <w:bCs/>
        </w:rPr>
        <w:t xml:space="preserve">What are </w:t>
      </w:r>
      <w:r w:rsidR="00871F9C" w:rsidRPr="00104C08">
        <w:rPr>
          <w:b/>
          <w:bCs/>
        </w:rPr>
        <w:t>Reasonable Adjustments</w:t>
      </w:r>
      <w:r w:rsidRPr="00104C08">
        <w:rPr>
          <w:b/>
          <w:bCs/>
        </w:rPr>
        <w:t>?</w:t>
      </w:r>
    </w:p>
    <w:p w14:paraId="3EC44B27" w14:textId="2A5ADF9E" w:rsidR="005B03D3" w:rsidRDefault="00871F9C" w:rsidP="000748A8">
      <w:r w:rsidRPr="00871F9C">
        <w:t>The Equality Act 2010 requires an awarding body to make reasonable adjustments where a candidate who is disabled within the meaning of the Equality Act 2010 would be at a substantial disadvantage in comparison to someone who is not disabled. A candidate with a disability or difficulty which has a substantial and long-t</w:t>
      </w:r>
      <w:r w:rsidR="00EB0A35">
        <w:t xml:space="preserve"> </w:t>
      </w:r>
      <w:r w:rsidRPr="00871F9C">
        <w:t xml:space="preserve">erm effect on performance in examinations may qualify for access arrangements. An adjustment may not be considered reasonable if it involves unreasonable costs, timeframes or affects the security or integrity of the assessment. </w:t>
      </w:r>
    </w:p>
    <w:p w14:paraId="18C1D417" w14:textId="77777777" w:rsidR="005B03D3" w:rsidRDefault="005B03D3" w:rsidP="000748A8"/>
    <w:p w14:paraId="5FF28933" w14:textId="76864995" w:rsidR="005B03D3" w:rsidRPr="00104C08" w:rsidRDefault="00871F9C" w:rsidP="000748A8">
      <w:pPr>
        <w:rPr>
          <w:b/>
          <w:bCs/>
        </w:rPr>
      </w:pPr>
      <w:r w:rsidRPr="00104C08">
        <w:rPr>
          <w:b/>
          <w:bCs/>
        </w:rPr>
        <w:t>What Exam Access Arrangements are Available?</w:t>
      </w:r>
    </w:p>
    <w:p w14:paraId="33F1A482" w14:textId="7154740E" w:rsidR="007856F9" w:rsidRDefault="00871F9C" w:rsidP="000748A8">
      <w:r w:rsidRPr="00871F9C">
        <w:t xml:space="preserve"> The </w:t>
      </w:r>
      <w:r w:rsidR="00896B79">
        <w:t>Shaw Trust Supported Interns</w:t>
      </w:r>
      <w:r w:rsidR="00642CA5">
        <w:t>hip</w:t>
      </w:r>
      <w:r w:rsidRPr="00871F9C">
        <w:t xml:space="preserve"> will only enter candidates for exams which are appropriate to the candidates’ needs and for which they are able to achieve. The Centre </w:t>
      </w:r>
      <w:r w:rsidRPr="00871F9C">
        <w:lastRenderedPageBreak/>
        <w:t xml:space="preserve">recognises that it is not always possible to provide equal access to exams, the responsibility upon the Centre is to endeavour to do what is deemed reasonable. </w:t>
      </w:r>
    </w:p>
    <w:p w14:paraId="469AC17E" w14:textId="77777777" w:rsidR="00642CA5" w:rsidRDefault="00871F9C" w:rsidP="000748A8">
      <w:r w:rsidRPr="00871F9C">
        <w:t xml:space="preserve">The following exam concessions are currently </w:t>
      </w:r>
      <w:r w:rsidR="005D2097">
        <w:t>available</w:t>
      </w:r>
      <w:r w:rsidRPr="00871F9C">
        <w:t>:</w:t>
      </w:r>
    </w:p>
    <w:p w14:paraId="7815BBFD" w14:textId="0DD040A6" w:rsidR="00642CA5" w:rsidRDefault="00FB4953" w:rsidP="00642CA5">
      <w:pPr>
        <w:pStyle w:val="ListParagraph"/>
        <w:numPr>
          <w:ilvl w:val="0"/>
          <w:numId w:val="16"/>
        </w:numPr>
      </w:pPr>
      <w:r w:rsidRPr="00871F9C">
        <w:t xml:space="preserve">Supervised rest breaks  </w:t>
      </w:r>
    </w:p>
    <w:p w14:paraId="62517764" w14:textId="6A28024F" w:rsidR="00642CA5" w:rsidRDefault="00FB4953" w:rsidP="00642CA5">
      <w:pPr>
        <w:pStyle w:val="ListParagraph"/>
        <w:numPr>
          <w:ilvl w:val="0"/>
          <w:numId w:val="16"/>
        </w:numPr>
      </w:pPr>
      <w:r>
        <w:t>Prompt</w:t>
      </w:r>
    </w:p>
    <w:p w14:paraId="36386B1F" w14:textId="5EEC54DD" w:rsidR="00642CA5" w:rsidRDefault="00871F9C" w:rsidP="00642CA5">
      <w:pPr>
        <w:pStyle w:val="ListParagraph"/>
        <w:numPr>
          <w:ilvl w:val="0"/>
          <w:numId w:val="16"/>
        </w:numPr>
      </w:pPr>
      <w:r w:rsidRPr="00871F9C">
        <w:t xml:space="preserve">25% extra time </w:t>
      </w:r>
    </w:p>
    <w:p w14:paraId="15CAB18E" w14:textId="7F76863C" w:rsidR="00642CA5" w:rsidRDefault="00871F9C" w:rsidP="00642CA5">
      <w:pPr>
        <w:pStyle w:val="ListParagraph"/>
        <w:numPr>
          <w:ilvl w:val="0"/>
          <w:numId w:val="16"/>
        </w:numPr>
      </w:pPr>
      <w:r w:rsidRPr="00871F9C">
        <w:t>Word processor (laptop or tablet)  Reading pen</w:t>
      </w:r>
      <w:r w:rsidR="00660F53">
        <w:t>/Reader</w:t>
      </w:r>
    </w:p>
    <w:p w14:paraId="5141E212" w14:textId="181EEA4F" w:rsidR="00642CA5" w:rsidRDefault="00BC2258" w:rsidP="00642CA5">
      <w:pPr>
        <w:pStyle w:val="ListParagraph"/>
        <w:numPr>
          <w:ilvl w:val="0"/>
          <w:numId w:val="16"/>
        </w:numPr>
      </w:pPr>
      <w:r>
        <w:t xml:space="preserve">1:1 </w:t>
      </w:r>
      <w:r w:rsidRPr="00871F9C">
        <w:t>invigilation</w:t>
      </w:r>
      <w:r w:rsidR="00871F9C" w:rsidRPr="00871F9C">
        <w:t xml:space="preserve"> </w:t>
      </w:r>
    </w:p>
    <w:p w14:paraId="60BF5827" w14:textId="7F62B1A4" w:rsidR="00420132" w:rsidRPr="00642CA5" w:rsidRDefault="00642CA5" w:rsidP="00642CA5">
      <w:pPr>
        <w:pStyle w:val="ListParagraph"/>
        <w:numPr>
          <w:ilvl w:val="0"/>
          <w:numId w:val="16"/>
        </w:numPr>
      </w:pPr>
      <w:r>
        <w:t>S</w:t>
      </w:r>
      <w:r w:rsidR="00871F9C" w:rsidRPr="00871F9C">
        <w:t xml:space="preserve">cribe </w:t>
      </w:r>
      <w:r w:rsidR="00BC2258">
        <w:br/>
      </w:r>
    </w:p>
    <w:p w14:paraId="140648F2" w14:textId="3C0752EF" w:rsidR="000B3A56" w:rsidRPr="00FB4953" w:rsidRDefault="00871F9C">
      <w:pPr>
        <w:rPr>
          <w:b/>
          <w:bCs/>
          <w:sz w:val="28"/>
          <w:szCs w:val="28"/>
        </w:rPr>
      </w:pPr>
      <w:r w:rsidRPr="00FB4953">
        <w:rPr>
          <w:b/>
          <w:bCs/>
          <w:sz w:val="28"/>
          <w:szCs w:val="28"/>
        </w:rPr>
        <w:t xml:space="preserve">The responsibilities of the </w:t>
      </w:r>
      <w:r w:rsidR="001A0C60" w:rsidRPr="00FB4953">
        <w:rPr>
          <w:b/>
          <w:bCs/>
          <w:sz w:val="28"/>
          <w:szCs w:val="28"/>
        </w:rPr>
        <w:t xml:space="preserve">Shaw </w:t>
      </w:r>
      <w:r w:rsidR="00FB4953" w:rsidRPr="00FB4953">
        <w:rPr>
          <w:b/>
          <w:bCs/>
          <w:sz w:val="28"/>
          <w:szCs w:val="28"/>
        </w:rPr>
        <w:t>Trust</w:t>
      </w:r>
      <w:r w:rsidR="001A0C60" w:rsidRPr="00FB4953">
        <w:rPr>
          <w:b/>
          <w:bCs/>
          <w:sz w:val="28"/>
          <w:szCs w:val="28"/>
        </w:rPr>
        <w:t xml:space="preserve"> supported interns</w:t>
      </w:r>
      <w:r w:rsidR="00642CA5">
        <w:rPr>
          <w:b/>
          <w:bCs/>
          <w:sz w:val="28"/>
          <w:szCs w:val="28"/>
        </w:rPr>
        <w:t>hip</w:t>
      </w:r>
      <w:r w:rsidRPr="00FB4953">
        <w:rPr>
          <w:b/>
          <w:bCs/>
          <w:sz w:val="28"/>
          <w:szCs w:val="28"/>
        </w:rPr>
        <w:t xml:space="preserve">: </w:t>
      </w:r>
    </w:p>
    <w:p w14:paraId="55B444D8" w14:textId="486E6E69" w:rsidR="000B3A56" w:rsidRPr="00FB4953" w:rsidRDefault="00FB4953">
      <w:pPr>
        <w:rPr>
          <w:b/>
          <w:bCs/>
        </w:rPr>
      </w:pPr>
      <w:r>
        <w:rPr>
          <w:b/>
          <w:bCs/>
        </w:rPr>
        <w:t>T</w:t>
      </w:r>
      <w:r w:rsidRPr="00FB4953">
        <w:rPr>
          <w:b/>
          <w:bCs/>
        </w:rPr>
        <w:t>he</w:t>
      </w:r>
      <w:r w:rsidR="00871F9C" w:rsidRPr="00FB4953">
        <w:rPr>
          <w:b/>
          <w:bCs/>
        </w:rPr>
        <w:t xml:space="preserve"> </w:t>
      </w:r>
      <w:r w:rsidR="00BC64B7" w:rsidRPr="00FB4953">
        <w:rPr>
          <w:b/>
          <w:bCs/>
        </w:rPr>
        <w:t>SENCO</w:t>
      </w:r>
      <w:r w:rsidR="00871F9C" w:rsidRPr="00FB4953">
        <w:rPr>
          <w:b/>
          <w:bCs/>
        </w:rPr>
        <w:t xml:space="preserve"> will:</w:t>
      </w:r>
    </w:p>
    <w:p w14:paraId="0ECE4F16" w14:textId="1B217601" w:rsidR="0083730A" w:rsidRDefault="00871F9C">
      <w:r w:rsidRPr="00871F9C">
        <w:t xml:space="preserve"> ▪ </w:t>
      </w:r>
      <w:r w:rsidR="00642CA5">
        <w:t xml:space="preserve"> </w:t>
      </w:r>
      <w:r w:rsidRPr="00871F9C">
        <w:t xml:space="preserve">Comply with the current regulations as set out by JCQ Regulations, Access Arrangements, Reasonable Adjustments and Special Consideration, or other Awarding Bodies as required. </w:t>
      </w:r>
      <w:r w:rsidR="00BC64B7">
        <w:br/>
      </w:r>
      <w:r w:rsidRPr="00871F9C">
        <w:t xml:space="preserve">▪ </w:t>
      </w:r>
      <w:r w:rsidR="00642CA5">
        <w:t xml:space="preserve"> </w:t>
      </w:r>
      <w:r w:rsidRPr="00871F9C">
        <w:t xml:space="preserve">Coordinate the exam access arrangements process within the </w:t>
      </w:r>
      <w:r w:rsidR="00DD36E7">
        <w:t>Shaw Trust Supported Inters</w:t>
      </w:r>
      <w:r w:rsidRPr="00871F9C">
        <w:t>.</w:t>
      </w:r>
      <w:r w:rsidR="00DD36E7">
        <w:br/>
      </w:r>
      <w:r w:rsidRPr="00871F9C">
        <w:t xml:space="preserve"> ▪ </w:t>
      </w:r>
      <w:r w:rsidR="00642CA5">
        <w:t xml:space="preserve"> </w:t>
      </w:r>
      <w:r w:rsidRPr="00871F9C">
        <w:t xml:space="preserve">Complete and submit relevant documentation required by JCQ Regulations and appropriate Examination Boards </w:t>
      </w:r>
      <w:r w:rsidR="00EB3F33">
        <w:t>in a timely fashion</w:t>
      </w:r>
      <w:r w:rsidR="00EB3F33">
        <w:br/>
      </w:r>
      <w:r w:rsidRPr="00871F9C">
        <w:t xml:space="preserve">▪ </w:t>
      </w:r>
      <w:r w:rsidR="00642CA5">
        <w:t xml:space="preserve"> </w:t>
      </w:r>
      <w:r w:rsidRPr="00871F9C">
        <w:t xml:space="preserve">Explain and agree exam access arrangement recommendations </w:t>
      </w:r>
      <w:r w:rsidR="009E38FC">
        <w:t>a</w:t>
      </w:r>
      <w:r w:rsidRPr="00871F9C">
        <w:t>nd inform staff via appropriate</w:t>
      </w:r>
      <w:r w:rsidR="009E38FC">
        <w:t xml:space="preserve"> Shaw Trust Supported Inters</w:t>
      </w:r>
      <w:r w:rsidRPr="00871F9C">
        <w:t xml:space="preserve"> systems. </w:t>
      </w:r>
      <w:r w:rsidR="009E38FC">
        <w:br/>
      </w:r>
      <w:r w:rsidRPr="00871F9C">
        <w:t xml:space="preserve">▪ </w:t>
      </w:r>
      <w:r w:rsidR="00642CA5">
        <w:t xml:space="preserve"> </w:t>
      </w:r>
      <w:r w:rsidRPr="00871F9C">
        <w:t xml:space="preserve">Comply with General Data Protection Regulations (GDPR) to ensure protection of </w:t>
      </w:r>
      <w:r w:rsidR="00AB3677">
        <w:t>Intern</w:t>
      </w:r>
      <w:r w:rsidRPr="00871F9C">
        <w:t>s’ personal data.</w:t>
      </w:r>
    </w:p>
    <w:p w14:paraId="3990FC47" w14:textId="77777777" w:rsidR="000B3A56" w:rsidRPr="002C4979" w:rsidRDefault="000B3A56">
      <w:pPr>
        <w:rPr>
          <w:b/>
          <w:bCs/>
        </w:rPr>
      </w:pPr>
    </w:p>
    <w:p w14:paraId="2E703902" w14:textId="5EDF5A1D" w:rsidR="0083730A" w:rsidRPr="002C4979" w:rsidRDefault="0083730A">
      <w:pPr>
        <w:rPr>
          <w:b/>
          <w:bCs/>
        </w:rPr>
      </w:pPr>
      <w:r w:rsidRPr="002C4979">
        <w:rPr>
          <w:b/>
          <w:bCs/>
        </w:rPr>
        <w:t>All teaching</w:t>
      </w:r>
      <w:r w:rsidR="00871F9C" w:rsidRPr="002C4979">
        <w:rPr>
          <w:b/>
          <w:bCs/>
        </w:rPr>
        <w:t xml:space="preserve"> staff: </w:t>
      </w:r>
    </w:p>
    <w:p w14:paraId="74669163" w14:textId="1FA118AE" w:rsidR="00237B38" w:rsidRDefault="00871F9C" w:rsidP="000B3A56">
      <w:r w:rsidRPr="00871F9C">
        <w:t xml:space="preserve">▪ </w:t>
      </w:r>
      <w:r w:rsidR="00642CA5">
        <w:t xml:space="preserve"> </w:t>
      </w:r>
      <w:r w:rsidRPr="00871F9C">
        <w:t xml:space="preserve">Teaching staff (as required) will complete an online tutor form to document </w:t>
      </w:r>
      <w:r w:rsidR="000B3A56">
        <w:t>Interns</w:t>
      </w:r>
      <w:r w:rsidRPr="00871F9C">
        <w:t xml:space="preserve">’ normal way of working (the differentiations in place to support learning and the difficulties the learner is having). </w:t>
      </w:r>
      <w:r w:rsidR="0083730A">
        <w:br/>
      </w:r>
      <w:r w:rsidR="00377B5D" w:rsidRPr="00871F9C">
        <w:t>▪</w:t>
      </w:r>
      <w:r w:rsidR="00377B5D">
        <w:t xml:space="preserve"> </w:t>
      </w:r>
      <w:r w:rsidR="00642CA5">
        <w:t xml:space="preserve"> </w:t>
      </w:r>
      <w:r w:rsidR="00377B5D">
        <w:t>Assist</w:t>
      </w:r>
      <w:r w:rsidR="00C20405">
        <w:t xml:space="preserve"> the SENCO and the F</w:t>
      </w:r>
      <w:r w:rsidR="00642CA5">
        <w:t xml:space="preserve">unctional </w:t>
      </w:r>
      <w:r w:rsidR="00C20405">
        <w:t>S</w:t>
      </w:r>
      <w:r w:rsidR="00642CA5">
        <w:t>kills</w:t>
      </w:r>
      <w:r w:rsidR="00C20405">
        <w:t xml:space="preserve"> staff by collecting evidence which can </w:t>
      </w:r>
      <w:r w:rsidR="005257C6">
        <w:t>be</w:t>
      </w:r>
      <w:r w:rsidR="00C20405">
        <w:t xml:space="preserve"> used to apply for</w:t>
      </w:r>
      <w:r w:rsidR="00D8670B">
        <w:t xml:space="preserve"> access arrangements</w:t>
      </w:r>
    </w:p>
    <w:p w14:paraId="25A769BD" w14:textId="33EA3F75" w:rsidR="00237B38" w:rsidRDefault="00237B38" w:rsidP="000B3A56">
      <w:r w:rsidRPr="00871F9C">
        <w:t>▪</w:t>
      </w:r>
      <w:r>
        <w:t xml:space="preserve"> </w:t>
      </w:r>
      <w:r w:rsidR="00642CA5">
        <w:t xml:space="preserve"> </w:t>
      </w:r>
      <w:r>
        <w:t xml:space="preserve">Ensure there </w:t>
      </w:r>
      <w:r w:rsidR="00642CA5">
        <w:t>are</w:t>
      </w:r>
      <w:r>
        <w:t xml:space="preserve"> mocks, class </w:t>
      </w:r>
      <w:r w:rsidR="00384CE5">
        <w:t>tests and a range of assessments that demonstrate clearly how the exam access arrangement is used and required.</w:t>
      </w:r>
      <w:r w:rsidR="000B3A56">
        <w:br/>
      </w:r>
      <w:r w:rsidR="00D8670B" w:rsidRPr="00871F9C">
        <w:t>▪</w:t>
      </w:r>
      <w:r w:rsidR="00D8670B">
        <w:t xml:space="preserve"> </w:t>
      </w:r>
      <w:r w:rsidR="00642CA5">
        <w:t xml:space="preserve"> </w:t>
      </w:r>
      <w:r w:rsidR="00D8670B">
        <w:t xml:space="preserve">Without substantial evidence the SENCO will be unable to </w:t>
      </w:r>
      <w:r w:rsidR="000B3A56">
        <w:t>provide the learner with all required access arrangements.</w:t>
      </w:r>
    </w:p>
    <w:p w14:paraId="42E2A4FB" w14:textId="77777777" w:rsidR="00731945" w:rsidRDefault="00731945" w:rsidP="000B3A56"/>
    <w:p w14:paraId="1EDC4DA9" w14:textId="77777777" w:rsidR="00496A92" w:rsidRPr="00496A92" w:rsidRDefault="00496A92" w:rsidP="00496A92">
      <w:r w:rsidRPr="00496A92">
        <w:rPr>
          <w:b/>
          <w:bCs/>
        </w:rPr>
        <w:t>Access arrangements information</w:t>
      </w:r>
    </w:p>
    <w:p w14:paraId="049C04D2" w14:textId="27FC423C" w:rsidR="00496A92" w:rsidRPr="00496A92" w:rsidRDefault="00496A92" w:rsidP="00496A92">
      <w:r w:rsidRPr="00A268CA">
        <w:t xml:space="preserve">“The SENCo must be satisfied that the candidate has an impairment which has a substantial and </w:t>
      </w:r>
      <w:r w:rsidR="00642CA5" w:rsidRPr="00A268CA">
        <w:t>long-term</w:t>
      </w:r>
      <w:r w:rsidRPr="00A268CA">
        <w:t xml:space="preserve"> adverse effect, giving rise to persistent and significant difficulties; and the candidate is disabled within the meaning of the Equality Act 2010”.</w:t>
      </w:r>
      <w:r w:rsidRPr="00A268CA">
        <w:br/>
      </w:r>
      <w:r w:rsidRPr="00496A92">
        <w:rPr>
          <w:i/>
          <w:iCs/>
        </w:rPr>
        <w:t>Access Arrangements and Reasonable adjustments - JCQ 202</w:t>
      </w:r>
      <w:r>
        <w:rPr>
          <w:i/>
          <w:iCs/>
        </w:rPr>
        <w:t>5</w:t>
      </w:r>
      <w:r w:rsidRPr="00496A92">
        <w:rPr>
          <w:i/>
          <w:iCs/>
        </w:rPr>
        <w:t>-2</w:t>
      </w:r>
      <w:r>
        <w:rPr>
          <w:i/>
          <w:iCs/>
        </w:rPr>
        <w:t>6</w:t>
      </w:r>
    </w:p>
    <w:p w14:paraId="70719725" w14:textId="77777777" w:rsidR="00496A92" w:rsidRDefault="00496A92" w:rsidP="00496A92">
      <w:r w:rsidRPr="00496A92">
        <w:t>Below is a summary of the current JCQ directives regarding access arrangements.</w:t>
      </w:r>
    </w:p>
    <w:p w14:paraId="30806997" w14:textId="77777777" w:rsidR="00FB733B" w:rsidRDefault="00FB733B" w:rsidP="00496A92"/>
    <w:tbl>
      <w:tblPr>
        <w:tblStyle w:val="TableGrid"/>
        <w:tblW w:w="0" w:type="auto"/>
        <w:tblLook w:val="04A0" w:firstRow="1" w:lastRow="0" w:firstColumn="1" w:lastColumn="0" w:noHBand="0" w:noVBand="1"/>
      </w:tblPr>
      <w:tblGrid>
        <w:gridCol w:w="1555"/>
        <w:gridCol w:w="3685"/>
        <w:gridCol w:w="3776"/>
      </w:tblGrid>
      <w:tr w:rsidR="00A31866" w14:paraId="4D80BE88" w14:textId="77777777" w:rsidTr="0041426C">
        <w:tc>
          <w:tcPr>
            <w:tcW w:w="1555" w:type="dxa"/>
          </w:tcPr>
          <w:p w14:paraId="29A3BC15" w14:textId="40F9EF3B" w:rsidR="00A31866" w:rsidRDefault="00A31866" w:rsidP="00496A92">
            <w:r>
              <w:t>Access Arrangement</w:t>
            </w:r>
          </w:p>
        </w:tc>
        <w:tc>
          <w:tcPr>
            <w:tcW w:w="3685" w:type="dxa"/>
          </w:tcPr>
          <w:p w14:paraId="09734B2C" w14:textId="24C4294E" w:rsidR="00A31866" w:rsidRDefault="008852C0" w:rsidP="00496A92">
            <w:r>
              <w:t>What is it?</w:t>
            </w:r>
          </w:p>
        </w:tc>
        <w:tc>
          <w:tcPr>
            <w:tcW w:w="3776" w:type="dxa"/>
          </w:tcPr>
          <w:p w14:paraId="27178CC9" w14:textId="2802909C" w:rsidR="00A31866" w:rsidRDefault="008852C0" w:rsidP="00496A92">
            <w:r>
              <w:t xml:space="preserve">Criteria </w:t>
            </w:r>
          </w:p>
        </w:tc>
      </w:tr>
      <w:tr w:rsidR="00A31866" w14:paraId="2E6BE659" w14:textId="77777777" w:rsidTr="0041426C">
        <w:trPr>
          <w:trHeight w:val="2493"/>
        </w:trPr>
        <w:tc>
          <w:tcPr>
            <w:tcW w:w="1555" w:type="dxa"/>
          </w:tcPr>
          <w:p w14:paraId="5F1A3422" w14:textId="14C4803F" w:rsidR="00A31866" w:rsidRDefault="00B81765" w:rsidP="00496A92">
            <w:r>
              <w:t>Supervised rest breaks</w:t>
            </w:r>
          </w:p>
        </w:tc>
        <w:tc>
          <w:tcPr>
            <w:tcW w:w="3685" w:type="dxa"/>
          </w:tcPr>
          <w:p w14:paraId="00FAC289" w14:textId="57459BB2" w:rsidR="00A31866" w:rsidRDefault="004045ED" w:rsidP="00496A92">
            <w:r>
              <w:t>S</w:t>
            </w:r>
            <w:r w:rsidRPr="004045ED">
              <w:t>tudents are permitted to stop for short break/s during the exam, and the time is added to the finish time, with the effect of elongating the exam but not actually using any extra time. The amount of time awarded is at the discretion of the SENC</w:t>
            </w:r>
            <w:r>
              <w:t xml:space="preserve">O. </w:t>
            </w:r>
          </w:p>
          <w:p w14:paraId="0B4ED632" w14:textId="4E2CC765" w:rsidR="006E3EC8" w:rsidRPr="004045ED" w:rsidRDefault="006E3EC8" w:rsidP="00496A92">
            <w:r>
              <w:t>Supervised rest breaks are deemed to be more</w:t>
            </w:r>
            <w:r w:rsidR="009B6F67">
              <w:t xml:space="preserve"> appropriate as that simulate real life</w:t>
            </w:r>
            <w:r w:rsidR="00A268CA">
              <w:t xml:space="preserve">. </w:t>
            </w:r>
          </w:p>
        </w:tc>
        <w:tc>
          <w:tcPr>
            <w:tcW w:w="3776" w:type="dxa"/>
          </w:tcPr>
          <w:p w14:paraId="6A7BE778" w14:textId="159EBBC1" w:rsidR="00A31866" w:rsidRDefault="002B3DC8" w:rsidP="00496A92">
            <w:r>
              <w:t>W</w:t>
            </w:r>
            <w:r w:rsidRPr="002B3DC8">
              <w:t>here a student has a disability which prevents them from concentrating for long periods of time.</w:t>
            </w:r>
            <w:r w:rsidR="00642CA5">
              <w:t xml:space="preserve">  </w:t>
            </w:r>
            <w:r w:rsidRPr="002B3DC8">
              <w:t xml:space="preserve">This is now the recommended option from the exam boards before considering extra </w:t>
            </w:r>
            <w:r w:rsidR="00A268CA" w:rsidRPr="002B3DC8">
              <w:t>time</w:t>
            </w:r>
            <w:r w:rsidR="00A268CA">
              <w:t>.</w:t>
            </w:r>
          </w:p>
        </w:tc>
      </w:tr>
      <w:tr w:rsidR="00A31866" w14:paraId="2805A2E7" w14:textId="77777777" w:rsidTr="0041426C">
        <w:tc>
          <w:tcPr>
            <w:tcW w:w="1555" w:type="dxa"/>
          </w:tcPr>
          <w:p w14:paraId="7C70B28E" w14:textId="17AA5D0D" w:rsidR="00A31866" w:rsidRDefault="00B81765" w:rsidP="00496A92">
            <w:r>
              <w:t>Extra time</w:t>
            </w:r>
          </w:p>
        </w:tc>
        <w:tc>
          <w:tcPr>
            <w:tcW w:w="3685" w:type="dxa"/>
          </w:tcPr>
          <w:p w14:paraId="0A7EE3B5" w14:textId="2D8AAABB" w:rsidR="00A31866" w:rsidRDefault="00865CEB" w:rsidP="00496A92">
            <w:r>
              <w:t>S</w:t>
            </w:r>
            <w:r w:rsidRPr="00865CEB">
              <w:t>tudents may be entitled to 25% extra time depending upon a history of need and where this has been the students’ normal way of working.</w:t>
            </w:r>
          </w:p>
        </w:tc>
        <w:tc>
          <w:tcPr>
            <w:tcW w:w="3776" w:type="dxa"/>
          </w:tcPr>
          <w:p w14:paraId="5102C3B0" w14:textId="0C313832" w:rsidR="00A31866" w:rsidRDefault="004813E5" w:rsidP="00496A92">
            <w:r>
              <w:t xml:space="preserve">All our students have an </w:t>
            </w:r>
            <w:r w:rsidR="00642CA5">
              <w:t>EHCP,</w:t>
            </w:r>
            <w:r w:rsidR="008D1197">
              <w:t xml:space="preserve"> but they still require evidence </w:t>
            </w:r>
            <w:r w:rsidR="00642CA5">
              <w:t>o</w:t>
            </w:r>
            <w:r w:rsidR="008D1197">
              <w:t>f need</w:t>
            </w:r>
            <w:r w:rsidR="00865CEB" w:rsidRPr="00865CEB">
              <w:t>. Teachers must provide written evidence to the SENC</w:t>
            </w:r>
            <w:r w:rsidR="008D1197">
              <w:t>O</w:t>
            </w:r>
            <w:r w:rsidR="00865CEB" w:rsidRPr="00865CEB">
              <w:t xml:space="preserve"> </w:t>
            </w:r>
            <w:r w:rsidR="00CB0F8C">
              <w:t xml:space="preserve">before the being processed that rest breaks have been trilled and are not effective before being </w:t>
            </w:r>
            <w:r w:rsidR="00CA55F3">
              <w:t>considered</w:t>
            </w:r>
            <w:r w:rsidR="00CB0F8C">
              <w:t xml:space="preserve"> for extra t</w:t>
            </w:r>
            <w:r w:rsidR="00CA55F3">
              <w:t>ime.</w:t>
            </w:r>
          </w:p>
          <w:p w14:paraId="40F23C71" w14:textId="5BB364DC" w:rsidR="00C6239A" w:rsidRDefault="00C6239A" w:rsidP="00496A92">
            <w:r>
              <w:t>Where a student is req</w:t>
            </w:r>
            <w:r w:rsidR="00803868">
              <w:t xml:space="preserve">uiring extra </w:t>
            </w:r>
            <w:r w:rsidR="00642CA5">
              <w:t>time,</w:t>
            </w:r>
            <w:r w:rsidR="00803868">
              <w:t xml:space="preserve"> the SENCO must be notified as soon as possible so they can arrange to observe the student to assess for suitability and</w:t>
            </w:r>
            <w:r w:rsidR="006E3EC8">
              <w:t xml:space="preserve"> see that rest breaks have been trailed </w:t>
            </w:r>
          </w:p>
        </w:tc>
      </w:tr>
      <w:tr w:rsidR="00A31866" w14:paraId="51C7EAEA" w14:textId="77777777" w:rsidTr="0041426C">
        <w:tc>
          <w:tcPr>
            <w:tcW w:w="1555" w:type="dxa"/>
          </w:tcPr>
          <w:p w14:paraId="7B474850" w14:textId="6D18D81F" w:rsidR="00A31866" w:rsidRDefault="00B81765" w:rsidP="00496A92">
            <w:r>
              <w:t>Scribe</w:t>
            </w:r>
          </w:p>
        </w:tc>
        <w:tc>
          <w:tcPr>
            <w:tcW w:w="3685" w:type="dxa"/>
          </w:tcPr>
          <w:p w14:paraId="78AE2171" w14:textId="00C31379" w:rsidR="00A31866" w:rsidRDefault="00450CE7" w:rsidP="00496A92">
            <w:r w:rsidRPr="00450CE7">
              <w:t>A trained adult writes for the student. The student would dictate their answers. The scribe would write exactly what they say.</w:t>
            </w:r>
          </w:p>
        </w:tc>
        <w:tc>
          <w:tcPr>
            <w:tcW w:w="3776" w:type="dxa"/>
          </w:tcPr>
          <w:p w14:paraId="4B45D9F8" w14:textId="14F68FE9" w:rsidR="00A31866" w:rsidRDefault="00AC7CC3" w:rsidP="00496A92">
            <w:r>
              <w:t>W</w:t>
            </w:r>
            <w:r w:rsidRPr="00AC7CC3">
              <w:t xml:space="preserve">here there is a physical disability; where his/her writing: </w:t>
            </w:r>
            <w:r>
              <w:br/>
            </w:r>
            <w:r w:rsidRPr="00AC7CC3">
              <w:t xml:space="preserve">• Is illegible and may hamper their ability to be understood. </w:t>
            </w:r>
            <w:r>
              <w:br/>
            </w:r>
            <w:r w:rsidRPr="00AC7CC3">
              <w:t xml:space="preserve">• Speed is too slow to be able to </w:t>
            </w:r>
            <w:r w:rsidRPr="00AC7CC3">
              <w:lastRenderedPageBreak/>
              <w:t>complete the exam in the allotted time.</w:t>
            </w:r>
          </w:p>
        </w:tc>
      </w:tr>
      <w:tr w:rsidR="00A31866" w14:paraId="00F15B54" w14:textId="77777777" w:rsidTr="0041426C">
        <w:tc>
          <w:tcPr>
            <w:tcW w:w="1555" w:type="dxa"/>
          </w:tcPr>
          <w:p w14:paraId="7D8BFB74" w14:textId="414233FB" w:rsidR="00A31866" w:rsidRDefault="00B81765" w:rsidP="00496A92">
            <w:r>
              <w:lastRenderedPageBreak/>
              <w:t>Reader</w:t>
            </w:r>
          </w:p>
        </w:tc>
        <w:tc>
          <w:tcPr>
            <w:tcW w:w="3685" w:type="dxa"/>
          </w:tcPr>
          <w:p w14:paraId="7E3A9948" w14:textId="433D1BA7" w:rsidR="00F830AF" w:rsidRDefault="00F830AF" w:rsidP="00496A92">
            <w:r>
              <w:t>A</w:t>
            </w:r>
            <w:r w:rsidR="00233C80">
              <w:t xml:space="preserve"> </w:t>
            </w:r>
            <w:r w:rsidRPr="00F830AF">
              <w:t>trained adult who would read the question and any relevant text (a reader would not be permitted for components that assess reading). The student would then write the answer themselves</w:t>
            </w:r>
            <w:r>
              <w:t>.</w:t>
            </w:r>
          </w:p>
        </w:tc>
        <w:tc>
          <w:tcPr>
            <w:tcW w:w="3776" w:type="dxa"/>
          </w:tcPr>
          <w:p w14:paraId="29176102" w14:textId="74E8967E" w:rsidR="00A31866" w:rsidRDefault="00233C80" w:rsidP="00496A92">
            <w:r>
              <w:t>T</w:t>
            </w:r>
            <w:r w:rsidRPr="00233C80">
              <w:t>he SENC</w:t>
            </w:r>
            <w:r>
              <w:t>O</w:t>
            </w:r>
            <w:r w:rsidRPr="00233C80">
              <w:t xml:space="preserve"> must complete a Form </w:t>
            </w:r>
            <w:r>
              <w:t>9,</w:t>
            </w:r>
            <w:r w:rsidRPr="00233C80">
              <w:t xml:space="preserve"> confirming the nature of the candidate’s impairment and that the use of a reader reflects his/her normal and current way of working within the centre.</w:t>
            </w:r>
            <w:r>
              <w:t xml:space="preserve"> This can be gained from tutor feedback and </w:t>
            </w:r>
            <w:r w:rsidR="00450CE7">
              <w:t xml:space="preserve">how the reader is utilised. </w:t>
            </w:r>
          </w:p>
        </w:tc>
      </w:tr>
      <w:tr w:rsidR="00A31866" w14:paraId="7FB130B2" w14:textId="77777777" w:rsidTr="0041426C">
        <w:tc>
          <w:tcPr>
            <w:tcW w:w="1555" w:type="dxa"/>
          </w:tcPr>
          <w:p w14:paraId="46495193" w14:textId="451ECA9A" w:rsidR="00A31866" w:rsidRDefault="00B81765" w:rsidP="00496A92">
            <w:r>
              <w:t xml:space="preserve">Prompt </w:t>
            </w:r>
          </w:p>
        </w:tc>
        <w:tc>
          <w:tcPr>
            <w:tcW w:w="3685" w:type="dxa"/>
          </w:tcPr>
          <w:p w14:paraId="05CB46C1" w14:textId="7AB8BFCD" w:rsidR="00A31866" w:rsidRDefault="005C145A" w:rsidP="00496A92">
            <w:r>
              <w:t xml:space="preserve">A </w:t>
            </w:r>
            <w:r w:rsidRPr="00F830AF">
              <w:t>trained adult who</w:t>
            </w:r>
            <w:r w:rsidR="00736332">
              <w:t xml:space="preserve"> </w:t>
            </w:r>
            <w:r w:rsidR="00736332" w:rsidRPr="00736332">
              <w:t> who helps a candidate maintain focus and stay on track during the exam. A prompter provides gentle cues to remind the student to concentrate, move to the next question, or manage their time</w:t>
            </w:r>
            <w:r w:rsidR="00736332">
              <w:t>.</w:t>
            </w:r>
          </w:p>
        </w:tc>
        <w:tc>
          <w:tcPr>
            <w:tcW w:w="3776" w:type="dxa"/>
          </w:tcPr>
          <w:p w14:paraId="62660A97" w14:textId="2472EB16" w:rsidR="00A31866" w:rsidRDefault="000F2641" w:rsidP="00496A92">
            <w:r>
              <w:t xml:space="preserve">Where the </w:t>
            </w:r>
            <w:r w:rsidR="00B956E3">
              <w:t>candidate</w:t>
            </w:r>
            <w:r>
              <w:t xml:space="preserve"> had a </w:t>
            </w:r>
            <w:r w:rsidR="001C0D72">
              <w:t>substantial</w:t>
            </w:r>
            <w:r>
              <w:t xml:space="preserve"> and </w:t>
            </w:r>
            <w:proofErr w:type="gramStart"/>
            <w:r>
              <w:t>long term</w:t>
            </w:r>
            <w:proofErr w:type="gramEnd"/>
            <w:r>
              <w:t xml:space="preserve"> adverse impairment</w:t>
            </w:r>
            <w:r w:rsidR="001C0D72">
              <w:t xml:space="preserve"> in concentrating the SENCO</w:t>
            </w:r>
            <w:r w:rsidR="00B956E3">
              <w:t xml:space="preserve"> can appoint a prompt. </w:t>
            </w:r>
          </w:p>
        </w:tc>
      </w:tr>
    </w:tbl>
    <w:p w14:paraId="719980F4" w14:textId="77777777" w:rsidR="00A31866" w:rsidRDefault="00A31866" w:rsidP="00496A92"/>
    <w:p w14:paraId="7510DABD" w14:textId="21BD5FB3" w:rsidR="00FB733B" w:rsidRDefault="006E2C5D" w:rsidP="00496A92">
      <w:r>
        <w:t>The process for requesting access arrangements</w:t>
      </w:r>
    </w:p>
    <w:p w14:paraId="0568DD92" w14:textId="69F8BDC4" w:rsidR="006E2C5D" w:rsidRDefault="006E2C5D" w:rsidP="00496A92">
      <w:r>
        <w:t xml:space="preserve">Functional Skills tutors will </w:t>
      </w:r>
      <w:r w:rsidR="001E0092">
        <w:t>ensure the following is in place prior to asking for</w:t>
      </w:r>
      <w:r w:rsidR="001D2209">
        <w:t xml:space="preserve"> access arrangements to be processed</w:t>
      </w:r>
      <w:r w:rsidR="004961D3">
        <w:t>:</w:t>
      </w:r>
    </w:p>
    <w:p w14:paraId="2C76904B" w14:textId="5BD00E5C" w:rsidR="001D2209" w:rsidRDefault="00C44EA1" w:rsidP="001D2209">
      <w:pPr>
        <w:pStyle w:val="ListParagraph"/>
        <w:numPr>
          <w:ilvl w:val="0"/>
          <w:numId w:val="11"/>
        </w:numPr>
      </w:pPr>
      <w:r>
        <w:t>The student is registered for the qualification</w:t>
      </w:r>
    </w:p>
    <w:p w14:paraId="0A5F3440" w14:textId="31DD249C" w:rsidR="00C44EA1" w:rsidRDefault="00021D9C" w:rsidP="001D2209">
      <w:pPr>
        <w:pStyle w:val="ListParagraph"/>
        <w:numPr>
          <w:ilvl w:val="0"/>
          <w:numId w:val="11"/>
        </w:numPr>
      </w:pPr>
      <w:r>
        <w:t xml:space="preserve">A Normal Way of Working form </w:t>
      </w:r>
      <w:r w:rsidR="00281DDE">
        <w:t>is</w:t>
      </w:r>
      <w:r>
        <w:t xml:space="preserve"> in place for the learner b</w:t>
      </w:r>
      <w:r w:rsidR="0088755A">
        <w:t>y the FS tutor and teaching staff</w:t>
      </w:r>
    </w:p>
    <w:p w14:paraId="16DAA179" w14:textId="6345EE13" w:rsidR="0088755A" w:rsidRDefault="00445FFF" w:rsidP="001D2209">
      <w:pPr>
        <w:pStyle w:val="ListParagraph"/>
        <w:numPr>
          <w:ilvl w:val="0"/>
          <w:numId w:val="11"/>
        </w:numPr>
      </w:pPr>
      <w:r>
        <w:t xml:space="preserve">Evidence of using the </w:t>
      </w:r>
      <w:r w:rsidR="00BE1348">
        <w:t xml:space="preserve">Access Arrangement is uploaded to the </w:t>
      </w:r>
      <w:r w:rsidR="00AF3511">
        <w:t>student’s</w:t>
      </w:r>
      <w:r w:rsidR="00BE1348">
        <w:t xml:space="preserve"> file</w:t>
      </w:r>
    </w:p>
    <w:p w14:paraId="269F5255" w14:textId="36F5ADB3" w:rsidR="00BE1348" w:rsidRDefault="00AF3511" w:rsidP="001D2209">
      <w:pPr>
        <w:pStyle w:val="ListParagraph"/>
        <w:numPr>
          <w:ilvl w:val="0"/>
          <w:numId w:val="11"/>
        </w:numPr>
      </w:pPr>
      <w:r>
        <w:t>Where extra time</w:t>
      </w:r>
      <w:r w:rsidR="00006BD3">
        <w:t xml:space="preserve"> is being requested the SENCO is alerted and given chance to observe the learner and there is evidence that supervised rest breaks have been trailed and exhausted. </w:t>
      </w:r>
    </w:p>
    <w:p w14:paraId="741705D7" w14:textId="77019664" w:rsidR="00006BD3" w:rsidRDefault="00A978A7" w:rsidP="001D2209">
      <w:pPr>
        <w:pStyle w:val="ListParagraph"/>
        <w:numPr>
          <w:ilvl w:val="0"/>
          <w:numId w:val="11"/>
        </w:numPr>
      </w:pPr>
      <w:r>
        <w:t>The SENCO is given two weeks to complete the required form</w:t>
      </w:r>
      <w:r w:rsidR="00DF0FBE">
        <w:t xml:space="preserve"> and get into the exam officer who will enter the request.</w:t>
      </w:r>
    </w:p>
    <w:p w14:paraId="20E46E43" w14:textId="5D463763" w:rsidR="00DF0FBE" w:rsidRDefault="00DF0FBE" w:rsidP="001D2209">
      <w:pPr>
        <w:pStyle w:val="ListParagraph"/>
        <w:numPr>
          <w:ilvl w:val="0"/>
          <w:numId w:val="11"/>
        </w:numPr>
      </w:pPr>
      <w:r>
        <w:t>If there is not enough evidence for the Access Arrangement the SENCO will not be able to</w:t>
      </w:r>
      <w:r w:rsidR="00104C08">
        <w:t xml:space="preserve"> award it. </w:t>
      </w:r>
    </w:p>
    <w:p w14:paraId="2C3B2F26" w14:textId="77777777" w:rsidR="00104C08" w:rsidRDefault="00104C08" w:rsidP="00104C08"/>
    <w:tbl>
      <w:tblPr>
        <w:tblStyle w:val="TableGrid"/>
        <w:tblW w:w="0" w:type="auto"/>
        <w:tblLook w:val="04A0" w:firstRow="1" w:lastRow="0" w:firstColumn="1" w:lastColumn="0" w:noHBand="0" w:noVBand="1"/>
      </w:tblPr>
      <w:tblGrid>
        <w:gridCol w:w="1180"/>
        <w:gridCol w:w="2604"/>
        <w:gridCol w:w="1313"/>
        <w:gridCol w:w="1375"/>
        <w:gridCol w:w="1313"/>
        <w:gridCol w:w="1231"/>
      </w:tblGrid>
      <w:tr w:rsidR="004D6E94" w14:paraId="160C5427" w14:textId="77777777" w:rsidTr="001B11F8">
        <w:tc>
          <w:tcPr>
            <w:tcW w:w="1502" w:type="dxa"/>
          </w:tcPr>
          <w:p w14:paraId="07F587BE" w14:textId="77777777" w:rsidR="004D6E94" w:rsidRPr="003B380E" w:rsidRDefault="004D6E94" w:rsidP="001B11F8">
            <w:pPr>
              <w:rPr>
                <w:rFonts w:ascii="Arial" w:eastAsia="Arial" w:hAnsi="Arial" w:cs="Arial"/>
                <w:b/>
                <w:bCs/>
              </w:rPr>
            </w:pPr>
            <w:r w:rsidRPr="003B380E">
              <w:rPr>
                <w:rFonts w:ascii="Arial" w:eastAsia="Arial" w:hAnsi="Arial" w:cs="Arial"/>
                <w:b/>
                <w:bCs/>
              </w:rPr>
              <w:t>Version</w:t>
            </w:r>
          </w:p>
        </w:tc>
        <w:tc>
          <w:tcPr>
            <w:tcW w:w="1502" w:type="dxa"/>
          </w:tcPr>
          <w:p w14:paraId="7165334D" w14:textId="77777777" w:rsidR="004D6E94" w:rsidRPr="003B380E" w:rsidRDefault="004D6E94" w:rsidP="001B11F8">
            <w:pPr>
              <w:rPr>
                <w:rFonts w:ascii="Arial" w:eastAsia="Arial" w:hAnsi="Arial" w:cs="Arial"/>
                <w:b/>
                <w:bCs/>
              </w:rPr>
            </w:pPr>
            <w:r w:rsidRPr="003B380E">
              <w:rPr>
                <w:rFonts w:ascii="Arial" w:eastAsia="Arial" w:hAnsi="Arial" w:cs="Arial"/>
                <w:b/>
                <w:bCs/>
              </w:rPr>
              <w:t>Details of amendments/change</w:t>
            </w:r>
          </w:p>
        </w:tc>
        <w:tc>
          <w:tcPr>
            <w:tcW w:w="1503" w:type="dxa"/>
          </w:tcPr>
          <w:p w14:paraId="526E026A" w14:textId="77777777" w:rsidR="004D6E94" w:rsidRPr="003B380E" w:rsidRDefault="004D6E94" w:rsidP="001B11F8">
            <w:pPr>
              <w:rPr>
                <w:rFonts w:ascii="Arial" w:eastAsia="Arial" w:hAnsi="Arial" w:cs="Arial"/>
                <w:b/>
                <w:bCs/>
              </w:rPr>
            </w:pPr>
            <w:r w:rsidRPr="003B380E">
              <w:rPr>
                <w:rFonts w:ascii="Arial" w:eastAsia="Arial" w:hAnsi="Arial" w:cs="Arial"/>
                <w:b/>
                <w:bCs/>
              </w:rPr>
              <w:t>Formal Approval required</w:t>
            </w:r>
          </w:p>
        </w:tc>
        <w:tc>
          <w:tcPr>
            <w:tcW w:w="1503" w:type="dxa"/>
          </w:tcPr>
          <w:p w14:paraId="615F76A5" w14:textId="77777777" w:rsidR="004D6E94" w:rsidRPr="003B380E" w:rsidRDefault="004D6E94" w:rsidP="001B11F8">
            <w:pPr>
              <w:rPr>
                <w:rFonts w:ascii="Arial" w:eastAsia="Arial" w:hAnsi="Arial" w:cs="Arial"/>
                <w:b/>
                <w:bCs/>
              </w:rPr>
            </w:pPr>
            <w:r w:rsidRPr="003B380E">
              <w:rPr>
                <w:rFonts w:ascii="Arial" w:eastAsia="Arial" w:hAnsi="Arial" w:cs="Arial"/>
                <w:b/>
                <w:bCs/>
              </w:rPr>
              <w:t>Approved by</w:t>
            </w:r>
          </w:p>
        </w:tc>
        <w:tc>
          <w:tcPr>
            <w:tcW w:w="1503" w:type="dxa"/>
          </w:tcPr>
          <w:p w14:paraId="2657857D" w14:textId="77777777" w:rsidR="004D6E94" w:rsidRPr="003B380E" w:rsidRDefault="004D6E94" w:rsidP="001B11F8">
            <w:pPr>
              <w:rPr>
                <w:rFonts w:ascii="Arial" w:eastAsia="Arial" w:hAnsi="Arial" w:cs="Arial"/>
                <w:b/>
                <w:bCs/>
              </w:rPr>
            </w:pPr>
            <w:r w:rsidRPr="003B380E">
              <w:rPr>
                <w:rFonts w:ascii="Arial" w:eastAsia="Arial" w:hAnsi="Arial" w:cs="Arial"/>
                <w:b/>
                <w:bCs/>
              </w:rPr>
              <w:t>Date of Approval</w:t>
            </w:r>
          </w:p>
        </w:tc>
        <w:tc>
          <w:tcPr>
            <w:tcW w:w="1503" w:type="dxa"/>
          </w:tcPr>
          <w:p w14:paraId="06A8D552" w14:textId="77777777" w:rsidR="004D6E94" w:rsidRPr="003B380E" w:rsidRDefault="004D6E94" w:rsidP="001B11F8">
            <w:pPr>
              <w:rPr>
                <w:rFonts w:ascii="Arial" w:eastAsia="Arial" w:hAnsi="Arial" w:cs="Arial"/>
                <w:b/>
                <w:bCs/>
              </w:rPr>
            </w:pPr>
            <w:r w:rsidRPr="003B380E">
              <w:rPr>
                <w:rFonts w:ascii="Arial" w:eastAsia="Arial" w:hAnsi="Arial" w:cs="Arial"/>
                <w:b/>
                <w:bCs/>
              </w:rPr>
              <w:t>Date adopted</w:t>
            </w:r>
          </w:p>
        </w:tc>
      </w:tr>
      <w:tr w:rsidR="004D6E94" w14:paraId="7808631A" w14:textId="77777777" w:rsidTr="001B11F8">
        <w:tc>
          <w:tcPr>
            <w:tcW w:w="1502" w:type="dxa"/>
          </w:tcPr>
          <w:p w14:paraId="720519D5" w14:textId="77777777" w:rsidR="004D6E94" w:rsidRDefault="004D6E94" w:rsidP="001B11F8">
            <w:pPr>
              <w:rPr>
                <w:rFonts w:ascii="Arial" w:eastAsia="Arial" w:hAnsi="Arial" w:cs="Arial"/>
              </w:rPr>
            </w:pPr>
            <w:r>
              <w:rPr>
                <w:rFonts w:ascii="Arial" w:eastAsia="Arial" w:hAnsi="Arial" w:cs="Arial"/>
              </w:rPr>
              <w:t>1.</w:t>
            </w:r>
          </w:p>
        </w:tc>
        <w:tc>
          <w:tcPr>
            <w:tcW w:w="1502" w:type="dxa"/>
          </w:tcPr>
          <w:p w14:paraId="48BCED06" w14:textId="77777777" w:rsidR="004D6E94" w:rsidRDefault="004D6E94" w:rsidP="001B11F8">
            <w:pPr>
              <w:rPr>
                <w:rFonts w:ascii="Arial" w:eastAsia="Arial" w:hAnsi="Arial" w:cs="Arial"/>
              </w:rPr>
            </w:pPr>
            <w:r>
              <w:rPr>
                <w:rFonts w:ascii="Arial" w:eastAsia="Arial" w:hAnsi="Arial" w:cs="Arial"/>
              </w:rPr>
              <w:t>New policy document</w:t>
            </w:r>
          </w:p>
        </w:tc>
        <w:tc>
          <w:tcPr>
            <w:tcW w:w="1503" w:type="dxa"/>
          </w:tcPr>
          <w:p w14:paraId="12DDE7B5" w14:textId="77777777" w:rsidR="004D6E94" w:rsidRDefault="004D6E94" w:rsidP="001B11F8">
            <w:pPr>
              <w:rPr>
                <w:rFonts w:ascii="Arial" w:eastAsia="Arial" w:hAnsi="Arial" w:cs="Arial"/>
              </w:rPr>
            </w:pPr>
            <w:r>
              <w:rPr>
                <w:rFonts w:ascii="Arial" w:eastAsia="Arial" w:hAnsi="Arial" w:cs="Arial"/>
              </w:rPr>
              <w:t>Yes</w:t>
            </w:r>
          </w:p>
        </w:tc>
        <w:tc>
          <w:tcPr>
            <w:tcW w:w="1503" w:type="dxa"/>
          </w:tcPr>
          <w:p w14:paraId="660ECD23" w14:textId="77777777" w:rsidR="004D6E94" w:rsidRDefault="004D6E94" w:rsidP="001B11F8">
            <w:pPr>
              <w:rPr>
                <w:rFonts w:ascii="Arial" w:eastAsia="Arial" w:hAnsi="Arial" w:cs="Arial"/>
              </w:rPr>
            </w:pPr>
            <w:r>
              <w:rPr>
                <w:rFonts w:ascii="Arial" w:eastAsia="Arial" w:hAnsi="Arial" w:cs="Arial"/>
              </w:rPr>
              <w:t>Asst Director</w:t>
            </w:r>
          </w:p>
        </w:tc>
        <w:tc>
          <w:tcPr>
            <w:tcW w:w="1503" w:type="dxa"/>
          </w:tcPr>
          <w:p w14:paraId="60E0B55E" w14:textId="77777777" w:rsidR="004D6E94" w:rsidRDefault="004D6E94" w:rsidP="001B11F8">
            <w:pPr>
              <w:rPr>
                <w:rFonts w:ascii="Arial" w:eastAsia="Arial" w:hAnsi="Arial" w:cs="Arial"/>
              </w:rPr>
            </w:pPr>
            <w:r>
              <w:rPr>
                <w:rFonts w:ascii="Arial" w:eastAsia="Arial" w:hAnsi="Arial" w:cs="Arial"/>
              </w:rPr>
              <w:t>20/6/25</w:t>
            </w:r>
          </w:p>
        </w:tc>
        <w:tc>
          <w:tcPr>
            <w:tcW w:w="1503" w:type="dxa"/>
          </w:tcPr>
          <w:p w14:paraId="279AC871" w14:textId="77777777" w:rsidR="004D6E94" w:rsidRDefault="004D6E94" w:rsidP="001B11F8">
            <w:pPr>
              <w:rPr>
                <w:rFonts w:ascii="Arial" w:eastAsia="Arial" w:hAnsi="Arial" w:cs="Arial"/>
              </w:rPr>
            </w:pPr>
            <w:r>
              <w:rPr>
                <w:rFonts w:ascii="Arial" w:eastAsia="Arial" w:hAnsi="Arial" w:cs="Arial"/>
              </w:rPr>
              <w:t>20/6/25</w:t>
            </w:r>
          </w:p>
        </w:tc>
      </w:tr>
      <w:tr w:rsidR="004D6E94" w14:paraId="67A0DF70" w14:textId="77777777" w:rsidTr="001B11F8">
        <w:tc>
          <w:tcPr>
            <w:tcW w:w="1502" w:type="dxa"/>
          </w:tcPr>
          <w:p w14:paraId="74CEC44B" w14:textId="77777777" w:rsidR="004D6E94" w:rsidRDefault="004D6E94" w:rsidP="001B11F8">
            <w:pPr>
              <w:rPr>
                <w:rFonts w:ascii="Arial" w:eastAsia="Arial" w:hAnsi="Arial" w:cs="Arial"/>
              </w:rPr>
            </w:pPr>
          </w:p>
        </w:tc>
        <w:tc>
          <w:tcPr>
            <w:tcW w:w="1502" w:type="dxa"/>
          </w:tcPr>
          <w:p w14:paraId="3B4D6828" w14:textId="77777777" w:rsidR="004D6E94" w:rsidRDefault="004D6E94" w:rsidP="001B11F8">
            <w:pPr>
              <w:rPr>
                <w:rFonts w:ascii="Arial" w:eastAsia="Arial" w:hAnsi="Arial" w:cs="Arial"/>
              </w:rPr>
            </w:pPr>
          </w:p>
        </w:tc>
        <w:tc>
          <w:tcPr>
            <w:tcW w:w="1503" w:type="dxa"/>
          </w:tcPr>
          <w:p w14:paraId="23A1AA90" w14:textId="77777777" w:rsidR="004D6E94" w:rsidRDefault="004D6E94" w:rsidP="001B11F8">
            <w:pPr>
              <w:rPr>
                <w:rFonts w:ascii="Arial" w:eastAsia="Arial" w:hAnsi="Arial" w:cs="Arial"/>
              </w:rPr>
            </w:pPr>
          </w:p>
        </w:tc>
        <w:tc>
          <w:tcPr>
            <w:tcW w:w="1503" w:type="dxa"/>
          </w:tcPr>
          <w:p w14:paraId="0C191C99" w14:textId="77777777" w:rsidR="004D6E94" w:rsidRDefault="004D6E94" w:rsidP="001B11F8">
            <w:pPr>
              <w:rPr>
                <w:rFonts w:ascii="Arial" w:eastAsia="Arial" w:hAnsi="Arial" w:cs="Arial"/>
              </w:rPr>
            </w:pPr>
          </w:p>
        </w:tc>
        <w:tc>
          <w:tcPr>
            <w:tcW w:w="1503" w:type="dxa"/>
          </w:tcPr>
          <w:p w14:paraId="3A6ADB98" w14:textId="77777777" w:rsidR="004D6E94" w:rsidRDefault="004D6E94" w:rsidP="001B11F8">
            <w:pPr>
              <w:rPr>
                <w:rFonts w:ascii="Arial" w:eastAsia="Arial" w:hAnsi="Arial" w:cs="Arial"/>
              </w:rPr>
            </w:pPr>
          </w:p>
        </w:tc>
        <w:tc>
          <w:tcPr>
            <w:tcW w:w="1503" w:type="dxa"/>
          </w:tcPr>
          <w:p w14:paraId="30773108" w14:textId="77777777" w:rsidR="004D6E94" w:rsidRDefault="004D6E94" w:rsidP="001B11F8">
            <w:pPr>
              <w:rPr>
                <w:rFonts w:ascii="Arial" w:eastAsia="Arial" w:hAnsi="Arial" w:cs="Arial"/>
              </w:rPr>
            </w:pPr>
          </w:p>
        </w:tc>
      </w:tr>
      <w:tr w:rsidR="004D6E94" w14:paraId="2AC1BB1F" w14:textId="77777777" w:rsidTr="001B11F8">
        <w:tc>
          <w:tcPr>
            <w:tcW w:w="1502" w:type="dxa"/>
          </w:tcPr>
          <w:p w14:paraId="21A8BC3B" w14:textId="77777777" w:rsidR="004D6E94" w:rsidRDefault="004D6E94" w:rsidP="001B11F8">
            <w:pPr>
              <w:rPr>
                <w:rFonts w:ascii="Arial" w:eastAsia="Arial" w:hAnsi="Arial" w:cs="Arial"/>
              </w:rPr>
            </w:pPr>
          </w:p>
        </w:tc>
        <w:tc>
          <w:tcPr>
            <w:tcW w:w="1502" w:type="dxa"/>
          </w:tcPr>
          <w:p w14:paraId="6149F687" w14:textId="77777777" w:rsidR="004D6E94" w:rsidRDefault="004D6E94" w:rsidP="001B11F8">
            <w:pPr>
              <w:rPr>
                <w:rFonts w:ascii="Arial" w:eastAsia="Arial" w:hAnsi="Arial" w:cs="Arial"/>
              </w:rPr>
            </w:pPr>
          </w:p>
        </w:tc>
        <w:tc>
          <w:tcPr>
            <w:tcW w:w="1503" w:type="dxa"/>
          </w:tcPr>
          <w:p w14:paraId="6D8383BD" w14:textId="77777777" w:rsidR="004D6E94" w:rsidRDefault="004D6E94" w:rsidP="001B11F8">
            <w:pPr>
              <w:rPr>
                <w:rFonts w:ascii="Arial" w:eastAsia="Arial" w:hAnsi="Arial" w:cs="Arial"/>
              </w:rPr>
            </w:pPr>
          </w:p>
        </w:tc>
        <w:tc>
          <w:tcPr>
            <w:tcW w:w="1503" w:type="dxa"/>
          </w:tcPr>
          <w:p w14:paraId="6961DCAC" w14:textId="77777777" w:rsidR="004D6E94" w:rsidRDefault="004D6E94" w:rsidP="001B11F8">
            <w:pPr>
              <w:rPr>
                <w:rFonts w:ascii="Arial" w:eastAsia="Arial" w:hAnsi="Arial" w:cs="Arial"/>
              </w:rPr>
            </w:pPr>
          </w:p>
        </w:tc>
        <w:tc>
          <w:tcPr>
            <w:tcW w:w="1503" w:type="dxa"/>
          </w:tcPr>
          <w:p w14:paraId="6A5BABCB" w14:textId="77777777" w:rsidR="004D6E94" w:rsidRDefault="004D6E94" w:rsidP="001B11F8">
            <w:pPr>
              <w:rPr>
                <w:rFonts w:ascii="Arial" w:eastAsia="Arial" w:hAnsi="Arial" w:cs="Arial"/>
              </w:rPr>
            </w:pPr>
          </w:p>
        </w:tc>
        <w:tc>
          <w:tcPr>
            <w:tcW w:w="1503" w:type="dxa"/>
          </w:tcPr>
          <w:p w14:paraId="59DA6782" w14:textId="77777777" w:rsidR="004D6E94" w:rsidRDefault="004D6E94" w:rsidP="001B11F8">
            <w:pPr>
              <w:rPr>
                <w:rFonts w:ascii="Arial" w:eastAsia="Arial" w:hAnsi="Arial" w:cs="Arial"/>
              </w:rPr>
            </w:pPr>
          </w:p>
        </w:tc>
      </w:tr>
      <w:tr w:rsidR="004D6E94" w14:paraId="0D8F98F4" w14:textId="77777777" w:rsidTr="001B11F8">
        <w:tc>
          <w:tcPr>
            <w:tcW w:w="1502" w:type="dxa"/>
          </w:tcPr>
          <w:p w14:paraId="65346662" w14:textId="77777777" w:rsidR="004D6E94" w:rsidRDefault="004D6E94" w:rsidP="001B11F8">
            <w:pPr>
              <w:rPr>
                <w:rFonts w:ascii="Arial" w:eastAsia="Arial" w:hAnsi="Arial" w:cs="Arial"/>
              </w:rPr>
            </w:pPr>
          </w:p>
        </w:tc>
        <w:tc>
          <w:tcPr>
            <w:tcW w:w="1502" w:type="dxa"/>
          </w:tcPr>
          <w:p w14:paraId="26489A71" w14:textId="77777777" w:rsidR="004D6E94" w:rsidRDefault="004D6E94" w:rsidP="001B11F8">
            <w:pPr>
              <w:rPr>
                <w:rFonts w:ascii="Arial" w:eastAsia="Arial" w:hAnsi="Arial" w:cs="Arial"/>
              </w:rPr>
            </w:pPr>
          </w:p>
        </w:tc>
        <w:tc>
          <w:tcPr>
            <w:tcW w:w="1503" w:type="dxa"/>
          </w:tcPr>
          <w:p w14:paraId="4A59968D" w14:textId="77777777" w:rsidR="004D6E94" w:rsidRDefault="004D6E94" w:rsidP="001B11F8">
            <w:pPr>
              <w:rPr>
                <w:rFonts w:ascii="Arial" w:eastAsia="Arial" w:hAnsi="Arial" w:cs="Arial"/>
              </w:rPr>
            </w:pPr>
          </w:p>
        </w:tc>
        <w:tc>
          <w:tcPr>
            <w:tcW w:w="1503" w:type="dxa"/>
          </w:tcPr>
          <w:p w14:paraId="69F16D39" w14:textId="77777777" w:rsidR="004D6E94" w:rsidRDefault="004D6E94" w:rsidP="001B11F8">
            <w:pPr>
              <w:rPr>
                <w:rFonts w:ascii="Arial" w:eastAsia="Arial" w:hAnsi="Arial" w:cs="Arial"/>
              </w:rPr>
            </w:pPr>
          </w:p>
        </w:tc>
        <w:tc>
          <w:tcPr>
            <w:tcW w:w="1503" w:type="dxa"/>
          </w:tcPr>
          <w:p w14:paraId="6DF800EA" w14:textId="77777777" w:rsidR="004D6E94" w:rsidRDefault="004D6E94" w:rsidP="001B11F8">
            <w:pPr>
              <w:rPr>
                <w:rFonts w:ascii="Arial" w:eastAsia="Arial" w:hAnsi="Arial" w:cs="Arial"/>
              </w:rPr>
            </w:pPr>
          </w:p>
        </w:tc>
        <w:tc>
          <w:tcPr>
            <w:tcW w:w="1503" w:type="dxa"/>
          </w:tcPr>
          <w:p w14:paraId="5E480FB6" w14:textId="77777777" w:rsidR="004D6E94" w:rsidRDefault="004D6E94" w:rsidP="001B11F8">
            <w:pPr>
              <w:rPr>
                <w:rFonts w:ascii="Arial" w:eastAsia="Arial" w:hAnsi="Arial" w:cs="Arial"/>
              </w:rPr>
            </w:pPr>
          </w:p>
        </w:tc>
      </w:tr>
      <w:tr w:rsidR="004D6E94" w14:paraId="7176E059" w14:textId="77777777" w:rsidTr="001B11F8">
        <w:tc>
          <w:tcPr>
            <w:tcW w:w="1502" w:type="dxa"/>
          </w:tcPr>
          <w:p w14:paraId="58EB8854" w14:textId="77777777" w:rsidR="004D6E94" w:rsidRDefault="004D6E94" w:rsidP="001B11F8">
            <w:pPr>
              <w:rPr>
                <w:rFonts w:ascii="Arial" w:eastAsia="Arial" w:hAnsi="Arial" w:cs="Arial"/>
              </w:rPr>
            </w:pPr>
          </w:p>
        </w:tc>
        <w:tc>
          <w:tcPr>
            <w:tcW w:w="1502" w:type="dxa"/>
          </w:tcPr>
          <w:p w14:paraId="5ED9E77D" w14:textId="77777777" w:rsidR="004D6E94" w:rsidRDefault="004D6E94" w:rsidP="001B11F8">
            <w:pPr>
              <w:rPr>
                <w:rFonts w:ascii="Arial" w:eastAsia="Arial" w:hAnsi="Arial" w:cs="Arial"/>
              </w:rPr>
            </w:pPr>
          </w:p>
        </w:tc>
        <w:tc>
          <w:tcPr>
            <w:tcW w:w="1503" w:type="dxa"/>
          </w:tcPr>
          <w:p w14:paraId="6892929B" w14:textId="77777777" w:rsidR="004D6E94" w:rsidRDefault="004D6E94" w:rsidP="001B11F8">
            <w:pPr>
              <w:rPr>
                <w:rFonts w:ascii="Arial" w:eastAsia="Arial" w:hAnsi="Arial" w:cs="Arial"/>
              </w:rPr>
            </w:pPr>
          </w:p>
        </w:tc>
        <w:tc>
          <w:tcPr>
            <w:tcW w:w="1503" w:type="dxa"/>
          </w:tcPr>
          <w:p w14:paraId="5A0F293C" w14:textId="77777777" w:rsidR="004D6E94" w:rsidRDefault="004D6E94" w:rsidP="001B11F8">
            <w:pPr>
              <w:rPr>
                <w:rFonts w:ascii="Arial" w:eastAsia="Arial" w:hAnsi="Arial" w:cs="Arial"/>
              </w:rPr>
            </w:pPr>
          </w:p>
        </w:tc>
        <w:tc>
          <w:tcPr>
            <w:tcW w:w="1503" w:type="dxa"/>
          </w:tcPr>
          <w:p w14:paraId="12ADD657" w14:textId="77777777" w:rsidR="004D6E94" w:rsidRDefault="004D6E94" w:rsidP="001B11F8">
            <w:pPr>
              <w:rPr>
                <w:rFonts w:ascii="Arial" w:eastAsia="Arial" w:hAnsi="Arial" w:cs="Arial"/>
              </w:rPr>
            </w:pPr>
          </w:p>
        </w:tc>
        <w:tc>
          <w:tcPr>
            <w:tcW w:w="1503" w:type="dxa"/>
          </w:tcPr>
          <w:p w14:paraId="32047E87" w14:textId="77777777" w:rsidR="004D6E94" w:rsidRDefault="004D6E94" w:rsidP="001B11F8">
            <w:pPr>
              <w:rPr>
                <w:rFonts w:ascii="Arial" w:eastAsia="Arial" w:hAnsi="Arial" w:cs="Arial"/>
              </w:rPr>
            </w:pPr>
          </w:p>
        </w:tc>
      </w:tr>
    </w:tbl>
    <w:p w14:paraId="4CF58894" w14:textId="77777777" w:rsidR="00104C08" w:rsidRDefault="00104C08" w:rsidP="00104C08"/>
    <w:p w14:paraId="5353E7C6" w14:textId="77777777" w:rsidR="00104C08" w:rsidRDefault="00104C08" w:rsidP="00104C08"/>
    <w:p w14:paraId="02754AD9" w14:textId="77777777" w:rsidR="00104C08" w:rsidRDefault="00104C08" w:rsidP="00104C08"/>
    <w:p w14:paraId="6A7B524C" w14:textId="77777777" w:rsidR="00104C08" w:rsidRDefault="00104C08" w:rsidP="00104C08"/>
    <w:p w14:paraId="62FDF9ED" w14:textId="77777777" w:rsidR="00104C08" w:rsidRDefault="00104C08" w:rsidP="00104C08"/>
    <w:p w14:paraId="2E7728B3" w14:textId="77777777" w:rsidR="00104C08" w:rsidRDefault="00104C08" w:rsidP="00104C08"/>
    <w:p w14:paraId="2807FC64" w14:textId="77777777" w:rsidR="00104C08" w:rsidRDefault="00104C08" w:rsidP="00104C08"/>
    <w:p w14:paraId="6B95B0B1" w14:textId="77777777" w:rsidR="00104C08" w:rsidRDefault="00104C08" w:rsidP="00104C08"/>
    <w:p w14:paraId="1CACC01A" w14:textId="77777777" w:rsidR="00104C08" w:rsidRDefault="00104C08" w:rsidP="00104C08"/>
    <w:p w14:paraId="2DFBB20F" w14:textId="77777777" w:rsidR="00104C08" w:rsidRPr="00496A92" w:rsidRDefault="00104C08" w:rsidP="00104C08"/>
    <w:p w14:paraId="45B54913" w14:textId="77777777" w:rsidR="008E6BCA" w:rsidRDefault="008E6BCA" w:rsidP="00496A92">
      <w:pPr>
        <w:rPr>
          <w:b/>
          <w:bCs/>
        </w:rPr>
      </w:pPr>
    </w:p>
    <w:p w14:paraId="2C4D5FC7" w14:textId="77777777" w:rsidR="00731945" w:rsidRDefault="00731945" w:rsidP="000B3A56"/>
    <w:p w14:paraId="2C6226EB" w14:textId="77777777" w:rsidR="00104C08" w:rsidRDefault="00104C08" w:rsidP="000B3A56"/>
    <w:p w14:paraId="42552428" w14:textId="1B148CAC" w:rsidR="00104C08" w:rsidRDefault="00642CA5" w:rsidP="000B3A56">
      <w:r>
        <w:t xml:space="preserve"> </w:t>
      </w:r>
      <w:r w:rsidR="00104C08">
        <w:t xml:space="preserve"> </w:t>
      </w:r>
    </w:p>
    <w:sectPr w:rsidR="00104C0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5D89" w14:textId="77777777" w:rsidR="004D6E94" w:rsidRDefault="004D6E94" w:rsidP="004D6E94">
      <w:pPr>
        <w:spacing w:after="0" w:line="240" w:lineRule="auto"/>
      </w:pPr>
      <w:r>
        <w:separator/>
      </w:r>
    </w:p>
  </w:endnote>
  <w:endnote w:type="continuationSeparator" w:id="0">
    <w:p w14:paraId="79444CEB" w14:textId="77777777" w:rsidR="004D6E94" w:rsidRDefault="004D6E94" w:rsidP="004D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F816" w14:textId="3C0A906C" w:rsidR="004D6E94" w:rsidRDefault="004D6E94">
    <w:pPr>
      <w:pStyle w:val="Footer"/>
    </w:pPr>
    <w:r>
      <w:t>Document Owner: Assistant Director CYPS</w:t>
    </w:r>
  </w:p>
  <w:p w14:paraId="24DD7BF4" w14:textId="7F0D8FF0" w:rsidR="004D6E94" w:rsidRDefault="004D6E94">
    <w:pPr>
      <w:pStyle w:val="Footer"/>
    </w:pPr>
    <w:r>
      <w:t>Date: Sept 25</w:t>
    </w:r>
  </w:p>
  <w:p w14:paraId="3748FEBF" w14:textId="1C5EA8D9" w:rsidR="004D6E94" w:rsidRDefault="004D6E94">
    <w:pPr>
      <w:pStyle w:val="Footer"/>
    </w:pPr>
    <w:r>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8EA5" w14:textId="77777777" w:rsidR="004D6E94" w:rsidRDefault="004D6E94" w:rsidP="004D6E94">
      <w:pPr>
        <w:spacing w:after="0" w:line="240" w:lineRule="auto"/>
      </w:pPr>
      <w:r>
        <w:separator/>
      </w:r>
    </w:p>
  </w:footnote>
  <w:footnote w:type="continuationSeparator" w:id="0">
    <w:p w14:paraId="2F4B15D5" w14:textId="77777777" w:rsidR="004D6E94" w:rsidRDefault="004D6E94" w:rsidP="004D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B119" w14:textId="54DAE69E" w:rsidR="004D6E94" w:rsidRDefault="004D6E94">
    <w:pPr>
      <w:pStyle w:val="Header"/>
    </w:pPr>
    <w:sdt>
      <w:sdtPr>
        <w:id w:val="-644124344"/>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77E30D91" wp14:editId="0D8C46DD">
                  <wp:simplePos x="0" y="0"/>
                  <wp:positionH relativeFrom="rightMargin">
                    <wp:align>center</wp:align>
                  </wp:positionH>
                  <wp:positionV relativeFrom="margin">
                    <wp:align>bottom</wp:align>
                  </wp:positionV>
                  <wp:extent cx="510540" cy="2183130"/>
                  <wp:effectExtent l="0" t="0" r="3810" b="0"/>
                  <wp:wrapNone/>
                  <wp:docPr id="4222304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59A7" w14:textId="77777777" w:rsidR="004D6E94" w:rsidRDefault="004D6E9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7E30D91"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C8C59A7" w14:textId="77777777" w:rsidR="004D6E94" w:rsidRDefault="004D6E9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Pr>
        <w:noProof/>
      </w:rPr>
      <w:drawing>
        <wp:inline distT="0" distB="0" distL="0" distR="0" wp14:anchorId="3100C707" wp14:editId="05E01630">
          <wp:extent cx="2131966" cy="659894"/>
          <wp:effectExtent l="0" t="0" r="0" b="0"/>
          <wp:docPr id="1962370791" name="Picture 16477293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772935"/>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966" cy="659894"/>
                  </a:xfrm>
                  <a:prstGeom prst="rect">
                    <a:avLst/>
                  </a:prstGeom>
                </pic:spPr>
              </pic:pic>
            </a:graphicData>
          </a:graphic>
        </wp:inline>
      </w:drawing>
    </w:r>
  </w:p>
  <w:p w14:paraId="14059DC8" w14:textId="77777777" w:rsidR="004D6E94" w:rsidRDefault="004D6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6B0D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A7E72"/>
    <w:multiLevelType w:val="multilevel"/>
    <w:tmpl w:val="5F16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C2C37"/>
    <w:multiLevelType w:val="multilevel"/>
    <w:tmpl w:val="C4D0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3497B"/>
    <w:multiLevelType w:val="multilevel"/>
    <w:tmpl w:val="4DC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3559B"/>
    <w:multiLevelType w:val="multilevel"/>
    <w:tmpl w:val="E790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43F0B"/>
    <w:multiLevelType w:val="hybridMultilevel"/>
    <w:tmpl w:val="8E1AF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923D5"/>
    <w:multiLevelType w:val="multilevel"/>
    <w:tmpl w:val="993C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31E1C"/>
    <w:multiLevelType w:val="hybridMultilevel"/>
    <w:tmpl w:val="59AEB9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9C339F5"/>
    <w:multiLevelType w:val="hybridMultilevel"/>
    <w:tmpl w:val="52FE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F3424D"/>
    <w:multiLevelType w:val="hybridMultilevel"/>
    <w:tmpl w:val="B0C4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D25AA"/>
    <w:multiLevelType w:val="multilevel"/>
    <w:tmpl w:val="6E72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83E18"/>
    <w:multiLevelType w:val="multilevel"/>
    <w:tmpl w:val="A068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7569C"/>
    <w:multiLevelType w:val="hybridMultilevel"/>
    <w:tmpl w:val="5116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FA06FA"/>
    <w:multiLevelType w:val="hybridMultilevel"/>
    <w:tmpl w:val="2832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91479"/>
    <w:multiLevelType w:val="multilevel"/>
    <w:tmpl w:val="5118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AF3F43"/>
    <w:multiLevelType w:val="hybridMultilevel"/>
    <w:tmpl w:val="1AD49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5449621">
    <w:abstractNumId w:val="14"/>
  </w:num>
  <w:num w:numId="2" w16cid:durableId="51511370">
    <w:abstractNumId w:val="2"/>
  </w:num>
  <w:num w:numId="3" w16cid:durableId="2000696560">
    <w:abstractNumId w:val="11"/>
  </w:num>
  <w:num w:numId="4" w16cid:durableId="40520737">
    <w:abstractNumId w:val="3"/>
  </w:num>
  <w:num w:numId="5" w16cid:durableId="1756627271">
    <w:abstractNumId w:val="10"/>
  </w:num>
  <w:num w:numId="6" w16cid:durableId="1258488452">
    <w:abstractNumId w:val="4"/>
  </w:num>
  <w:num w:numId="7" w16cid:durableId="1643541254">
    <w:abstractNumId w:val="6"/>
  </w:num>
  <w:num w:numId="8" w16cid:durableId="683630314">
    <w:abstractNumId w:val="1"/>
  </w:num>
  <w:num w:numId="9" w16cid:durableId="1059938845">
    <w:abstractNumId w:val="0"/>
  </w:num>
  <w:num w:numId="10" w16cid:durableId="1754742503">
    <w:abstractNumId w:val="13"/>
  </w:num>
  <w:num w:numId="11" w16cid:durableId="398869609">
    <w:abstractNumId w:val="5"/>
  </w:num>
  <w:num w:numId="12" w16cid:durableId="275142397">
    <w:abstractNumId w:val="15"/>
  </w:num>
  <w:num w:numId="13" w16cid:durableId="1326007591">
    <w:abstractNumId w:val="7"/>
  </w:num>
  <w:num w:numId="14" w16cid:durableId="1673215898">
    <w:abstractNumId w:val="8"/>
  </w:num>
  <w:num w:numId="15" w16cid:durableId="1125464479">
    <w:abstractNumId w:val="9"/>
  </w:num>
  <w:num w:numId="16" w16cid:durableId="248662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9C"/>
    <w:rsid w:val="00000361"/>
    <w:rsid w:val="000063FF"/>
    <w:rsid w:val="00006BD3"/>
    <w:rsid w:val="00021D9C"/>
    <w:rsid w:val="00041F1E"/>
    <w:rsid w:val="00047A34"/>
    <w:rsid w:val="000748A8"/>
    <w:rsid w:val="000B3A56"/>
    <w:rsid w:val="000C4AEC"/>
    <w:rsid w:val="000D3922"/>
    <w:rsid w:val="000D53FC"/>
    <w:rsid w:val="000F2641"/>
    <w:rsid w:val="00104C08"/>
    <w:rsid w:val="001454CC"/>
    <w:rsid w:val="00197ED6"/>
    <w:rsid w:val="001A0C60"/>
    <w:rsid w:val="001C0D72"/>
    <w:rsid w:val="001D2209"/>
    <w:rsid w:val="001E0092"/>
    <w:rsid w:val="00233C80"/>
    <w:rsid w:val="00237B38"/>
    <w:rsid w:val="00281DDE"/>
    <w:rsid w:val="002B3DC8"/>
    <w:rsid w:val="002C4979"/>
    <w:rsid w:val="002D2BFD"/>
    <w:rsid w:val="00377B5D"/>
    <w:rsid w:val="00384CE5"/>
    <w:rsid w:val="003B40D0"/>
    <w:rsid w:val="004045ED"/>
    <w:rsid w:val="0041426C"/>
    <w:rsid w:val="00420132"/>
    <w:rsid w:val="00431710"/>
    <w:rsid w:val="00445FFF"/>
    <w:rsid w:val="00450CE7"/>
    <w:rsid w:val="00451FC1"/>
    <w:rsid w:val="00475E7D"/>
    <w:rsid w:val="004813E5"/>
    <w:rsid w:val="004961D3"/>
    <w:rsid w:val="00496A92"/>
    <w:rsid w:val="004D6E94"/>
    <w:rsid w:val="005257C6"/>
    <w:rsid w:val="00530214"/>
    <w:rsid w:val="00542304"/>
    <w:rsid w:val="005865CE"/>
    <w:rsid w:val="005B03D3"/>
    <w:rsid w:val="005B758A"/>
    <w:rsid w:val="005C145A"/>
    <w:rsid w:val="005D2097"/>
    <w:rsid w:val="005E15AF"/>
    <w:rsid w:val="005E7E55"/>
    <w:rsid w:val="0062746A"/>
    <w:rsid w:val="00642CA5"/>
    <w:rsid w:val="00660F53"/>
    <w:rsid w:val="00671655"/>
    <w:rsid w:val="00676EBC"/>
    <w:rsid w:val="006B578D"/>
    <w:rsid w:val="006E2C5D"/>
    <w:rsid w:val="006E3EC8"/>
    <w:rsid w:val="00731945"/>
    <w:rsid w:val="00736332"/>
    <w:rsid w:val="007400E8"/>
    <w:rsid w:val="007856F9"/>
    <w:rsid w:val="00803868"/>
    <w:rsid w:val="0083730A"/>
    <w:rsid w:val="00865CEB"/>
    <w:rsid w:val="00871F9C"/>
    <w:rsid w:val="008852C0"/>
    <w:rsid w:val="0088755A"/>
    <w:rsid w:val="00896B79"/>
    <w:rsid w:val="008D1197"/>
    <w:rsid w:val="008E6BCA"/>
    <w:rsid w:val="00932099"/>
    <w:rsid w:val="00980CE0"/>
    <w:rsid w:val="009B3251"/>
    <w:rsid w:val="009B6F67"/>
    <w:rsid w:val="009C20E6"/>
    <w:rsid w:val="009E38FC"/>
    <w:rsid w:val="009E3984"/>
    <w:rsid w:val="00A268CA"/>
    <w:rsid w:val="00A31866"/>
    <w:rsid w:val="00A978A7"/>
    <w:rsid w:val="00AB3677"/>
    <w:rsid w:val="00AB7341"/>
    <w:rsid w:val="00AC7CC3"/>
    <w:rsid w:val="00AF0533"/>
    <w:rsid w:val="00AF3511"/>
    <w:rsid w:val="00B81765"/>
    <w:rsid w:val="00B956E3"/>
    <w:rsid w:val="00BC2258"/>
    <w:rsid w:val="00BC64B7"/>
    <w:rsid w:val="00BE1348"/>
    <w:rsid w:val="00C20405"/>
    <w:rsid w:val="00C44EA1"/>
    <w:rsid w:val="00C6094A"/>
    <w:rsid w:val="00C6239A"/>
    <w:rsid w:val="00C8309A"/>
    <w:rsid w:val="00CA55F3"/>
    <w:rsid w:val="00CB0F8C"/>
    <w:rsid w:val="00D57B0A"/>
    <w:rsid w:val="00D8670B"/>
    <w:rsid w:val="00D91E60"/>
    <w:rsid w:val="00D9675F"/>
    <w:rsid w:val="00DC7621"/>
    <w:rsid w:val="00DD36E7"/>
    <w:rsid w:val="00DD62FE"/>
    <w:rsid w:val="00DF0FBE"/>
    <w:rsid w:val="00E419FC"/>
    <w:rsid w:val="00E50D60"/>
    <w:rsid w:val="00E5779D"/>
    <w:rsid w:val="00EB0A35"/>
    <w:rsid w:val="00EB3F33"/>
    <w:rsid w:val="00F81CD1"/>
    <w:rsid w:val="00F830AF"/>
    <w:rsid w:val="00FB4953"/>
    <w:rsid w:val="00FB733B"/>
    <w:rsid w:val="00FC2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A0552B"/>
  <w15:chartTrackingRefBased/>
  <w15:docId w15:val="{18A5669C-3F3A-4E34-9F23-12939258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F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F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F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F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F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F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F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F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F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F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F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F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F9C"/>
    <w:rPr>
      <w:rFonts w:eastAsiaTheme="majorEastAsia" w:cstheme="majorBidi"/>
      <w:color w:val="272727" w:themeColor="text1" w:themeTint="D8"/>
    </w:rPr>
  </w:style>
  <w:style w:type="paragraph" w:styleId="Title">
    <w:name w:val="Title"/>
    <w:basedOn w:val="Normal"/>
    <w:next w:val="Normal"/>
    <w:link w:val="TitleChar"/>
    <w:uiPriority w:val="10"/>
    <w:qFormat/>
    <w:rsid w:val="00871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F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F9C"/>
    <w:pPr>
      <w:spacing w:before="160"/>
      <w:jc w:val="center"/>
    </w:pPr>
    <w:rPr>
      <w:i/>
      <w:iCs/>
      <w:color w:val="404040" w:themeColor="text1" w:themeTint="BF"/>
    </w:rPr>
  </w:style>
  <w:style w:type="character" w:customStyle="1" w:styleId="QuoteChar">
    <w:name w:val="Quote Char"/>
    <w:basedOn w:val="DefaultParagraphFont"/>
    <w:link w:val="Quote"/>
    <w:uiPriority w:val="29"/>
    <w:rsid w:val="00871F9C"/>
    <w:rPr>
      <w:i/>
      <w:iCs/>
      <w:color w:val="404040" w:themeColor="text1" w:themeTint="BF"/>
    </w:rPr>
  </w:style>
  <w:style w:type="paragraph" w:styleId="ListParagraph">
    <w:name w:val="List Paragraph"/>
    <w:basedOn w:val="Normal"/>
    <w:uiPriority w:val="34"/>
    <w:qFormat/>
    <w:rsid w:val="00871F9C"/>
    <w:pPr>
      <w:ind w:left="720"/>
      <w:contextualSpacing/>
    </w:pPr>
  </w:style>
  <w:style w:type="character" w:styleId="IntenseEmphasis">
    <w:name w:val="Intense Emphasis"/>
    <w:basedOn w:val="DefaultParagraphFont"/>
    <w:uiPriority w:val="21"/>
    <w:qFormat/>
    <w:rsid w:val="00871F9C"/>
    <w:rPr>
      <w:i/>
      <w:iCs/>
      <w:color w:val="0F4761" w:themeColor="accent1" w:themeShade="BF"/>
    </w:rPr>
  </w:style>
  <w:style w:type="paragraph" w:styleId="IntenseQuote">
    <w:name w:val="Intense Quote"/>
    <w:basedOn w:val="Normal"/>
    <w:next w:val="Normal"/>
    <w:link w:val="IntenseQuoteChar"/>
    <w:uiPriority w:val="30"/>
    <w:qFormat/>
    <w:rsid w:val="00871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F9C"/>
    <w:rPr>
      <w:i/>
      <w:iCs/>
      <w:color w:val="0F4761" w:themeColor="accent1" w:themeShade="BF"/>
    </w:rPr>
  </w:style>
  <w:style w:type="character" w:styleId="IntenseReference">
    <w:name w:val="Intense Reference"/>
    <w:basedOn w:val="DefaultParagraphFont"/>
    <w:uiPriority w:val="32"/>
    <w:qFormat/>
    <w:rsid w:val="00871F9C"/>
    <w:rPr>
      <w:b/>
      <w:bCs/>
      <w:smallCaps/>
      <w:color w:val="0F4761" w:themeColor="accent1" w:themeShade="BF"/>
      <w:spacing w:val="5"/>
    </w:rPr>
  </w:style>
  <w:style w:type="paragraph" w:customStyle="1" w:styleId="Default">
    <w:name w:val="Default"/>
    <w:rsid w:val="00676EBC"/>
    <w:pPr>
      <w:autoSpaceDE w:val="0"/>
      <w:autoSpaceDN w:val="0"/>
      <w:adjustRightInd w:val="0"/>
      <w:spacing w:after="0" w:line="240" w:lineRule="auto"/>
    </w:pPr>
    <w:rPr>
      <w:rFonts w:ascii="Montserrat" w:hAnsi="Montserrat" w:cs="Montserrat"/>
      <w:color w:val="000000"/>
      <w:kern w:val="0"/>
    </w:rPr>
  </w:style>
  <w:style w:type="paragraph" w:customStyle="1" w:styleId="Pa5">
    <w:name w:val="Pa5"/>
    <w:basedOn w:val="Default"/>
    <w:next w:val="Default"/>
    <w:uiPriority w:val="99"/>
    <w:rsid w:val="00676EBC"/>
    <w:pPr>
      <w:spacing w:line="201" w:lineRule="atLeast"/>
    </w:pPr>
    <w:rPr>
      <w:rFonts w:cstheme="minorBidi"/>
      <w:color w:val="auto"/>
    </w:rPr>
  </w:style>
  <w:style w:type="character" w:customStyle="1" w:styleId="A2">
    <w:name w:val="A2"/>
    <w:uiPriority w:val="99"/>
    <w:rsid w:val="00676EBC"/>
    <w:rPr>
      <w:rFonts w:cs="Montserrat"/>
      <w:color w:val="000000"/>
      <w:sz w:val="20"/>
      <w:szCs w:val="20"/>
      <w:u w:val="single"/>
    </w:rPr>
  </w:style>
  <w:style w:type="table" w:styleId="TableGrid">
    <w:name w:val="Table Grid"/>
    <w:basedOn w:val="TableNormal"/>
    <w:uiPriority w:val="59"/>
    <w:rsid w:val="00A31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6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E94"/>
  </w:style>
  <w:style w:type="paragraph" w:styleId="Footer">
    <w:name w:val="footer"/>
    <w:basedOn w:val="Normal"/>
    <w:link w:val="FooterChar"/>
    <w:uiPriority w:val="99"/>
    <w:unhideWhenUsed/>
    <w:rsid w:val="004D6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3670">
      <w:bodyDiv w:val="1"/>
      <w:marLeft w:val="0"/>
      <w:marRight w:val="0"/>
      <w:marTop w:val="0"/>
      <w:marBottom w:val="0"/>
      <w:divBdr>
        <w:top w:val="none" w:sz="0" w:space="0" w:color="auto"/>
        <w:left w:val="none" w:sz="0" w:space="0" w:color="auto"/>
        <w:bottom w:val="none" w:sz="0" w:space="0" w:color="auto"/>
        <w:right w:val="none" w:sz="0" w:space="0" w:color="auto"/>
      </w:divBdr>
    </w:div>
    <w:div w:id="188490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06060A6237343AF93BCF29C5D3764" ma:contentTypeVersion="17" ma:contentTypeDescription="Create a new document." ma:contentTypeScope="" ma:versionID="ab017ea3d9b8a472120d0ec1a6a22bf3">
  <xsd:schema xmlns:xsd="http://www.w3.org/2001/XMLSchema" xmlns:xs="http://www.w3.org/2001/XMLSchema" xmlns:p="http://schemas.microsoft.com/office/2006/metadata/properties" xmlns:ns1="http://schemas.microsoft.com/sharepoint/v3" xmlns:ns2="c921a341-5e54-41f8-92a4-059fd50d8c44" xmlns:ns3="d3650e57-07c6-4a5b-856d-1f5bd75ae08a" targetNamespace="http://schemas.microsoft.com/office/2006/metadata/properties" ma:root="true" ma:fieldsID="4b6322aca963d2e57e7fc5d192bac2dd" ns1:_="" ns2:_="" ns3:_="">
    <xsd:import namespace="http://schemas.microsoft.com/sharepoint/v3"/>
    <xsd:import namespace="c921a341-5e54-41f8-92a4-059fd50d8c44"/>
    <xsd:import namespace="d3650e57-07c6-4a5b-856d-1f5bd75ae08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21a341-5e54-41f8-92a4-059fd50d8c4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e4c7db0-698e-4b48-8530-8b84d6d8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50e57-07c6-4a5b-856d-1f5bd75ae08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bad7115-f6b6-4230-9e34-2fe684a4784c}" ma:internalName="TaxCatchAll" ma:showField="CatchAllData" ma:web="d3650e57-07c6-4a5b-856d-1f5bd75ae0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921a341-5e54-41f8-92a4-059fd50d8c44">
      <Terms xmlns="http://schemas.microsoft.com/office/infopath/2007/PartnerControls"/>
    </lcf76f155ced4ddcb4097134ff3c332f>
    <TaxCatchAll xmlns="d3650e57-07c6-4a5b-856d-1f5bd75ae08a" xsi:nil="true"/>
  </documentManagement>
</p:properties>
</file>

<file path=customXml/itemProps1.xml><?xml version="1.0" encoding="utf-8"?>
<ds:datastoreItem xmlns:ds="http://schemas.openxmlformats.org/officeDocument/2006/customXml" ds:itemID="{15E89B0C-FD3E-417A-811A-AB56F5067210}"/>
</file>

<file path=customXml/itemProps2.xml><?xml version="1.0" encoding="utf-8"?>
<ds:datastoreItem xmlns:ds="http://schemas.openxmlformats.org/officeDocument/2006/customXml" ds:itemID="{E36634B8-A92F-4DEB-A8B2-407F5444B4BC}"/>
</file>

<file path=customXml/itemProps3.xml><?xml version="1.0" encoding="utf-8"?>
<ds:datastoreItem xmlns:ds="http://schemas.openxmlformats.org/officeDocument/2006/customXml" ds:itemID="{9BC1CCF6-E4C4-48D1-9B6F-6AE0D2D064A7}"/>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Shaw Trust</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Lowe</dc:creator>
  <cp:keywords/>
  <dc:description/>
  <cp:lastModifiedBy>Andrea Jacob</cp:lastModifiedBy>
  <cp:revision>2</cp:revision>
  <dcterms:created xsi:type="dcterms:W3CDTF">2025-10-08T12:17:00Z</dcterms:created>
  <dcterms:modified xsi:type="dcterms:W3CDTF">2025-10-08T12:17:00Z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0x010100A3F06060A6237343AF93BCF29C5D3764</vt:lpwstr>
  </property>
</Properties>
</file>