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60E3E" w14:textId="38A25AB9" w:rsidR="008A7540" w:rsidRDefault="008A7540" w:rsidP="008A7540">
      <w:pPr>
        <w:jc w:val="center"/>
        <w:rPr>
          <w:sz w:val="72"/>
          <w:szCs w:val="72"/>
        </w:rPr>
      </w:pPr>
    </w:p>
    <w:p w14:paraId="2938C273" w14:textId="77777777" w:rsidR="007B0787" w:rsidRDefault="007B0787" w:rsidP="008A7540">
      <w:pPr>
        <w:jc w:val="center"/>
        <w:rPr>
          <w:sz w:val="72"/>
          <w:szCs w:val="72"/>
        </w:rPr>
      </w:pPr>
    </w:p>
    <w:p w14:paraId="5557FC02" w14:textId="5ED46A65" w:rsidR="00223988" w:rsidRPr="008A7540" w:rsidRDefault="008A7540" w:rsidP="008A7540">
      <w:pPr>
        <w:jc w:val="center"/>
        <w:rPr>
          <w:color w:val="404040" w:themeColor="text1" w:themeTint="BF"/>
          <w:sz w:val="96"/>
          <w:szCs w:val="96"/>
        </w:rPr>
      </w:pPr>
      <w:r w:rsidRPr="008A7540">
        <w:rPr>
          <w:color w:val="404040" w:themeColor="text1" w:themeTint="BF"/>
          <w:sz w:val="96"/>
          <w:szCs w:val="96"/>
        </w:rPr>
        <w:t>Carbon Reduction Plan</w:t>
      </w:r>
    </w:p>
    <w:p w14:paraId="7830288A" w14:textId="29EDA475" w:rsidR="008A7540" w:rsidRDefault="008A7540" w:rsidP="008A7540">
      <w:pPr>
        <w:rPr>
          <w:sz w:val="36"/>
          <w:szCs w:val="36"/>
        </w:rPr>
      </w:pPr>
    </w:p>
    <w:p w14:paraId="7E3B5616" w14:textId="17061DB2" w:rsidR="008A7540" w:rsidRPr="00C7568F" w:rsidRDefault="00A34E4C" w:rsidP="008A7540">
      <w:pPr>
        <w:jc w:val="center"/>
        <w:rPr>
          <w:color w:val="404040" w:themeColor="text1" w:themeTint="BF"/>
          <w:sz w:val="48"/>
          <w:szCs w:val="48"/>
        </w:rPr>
      </w:pPr>
      <w:r w:rsidRPr="00C7568F">
        <w:rPr>
          <w:color w:val="404040" w:themeColor="text1" w:themeTint="BF"/>
          <w:sz w:val="48"/>
          <w:szCs w:val="48"/>
        </w:rPr>
        <w:t>September 2021</w:t>
      </w:r>
    </w:p>
    <w:p w14:paraId="3EBF3E84" w14:textId="2E7BE5D4" w:rsidR="008A7540" w:rsidRPr="00C7568F" w:rsidRDefault="008A7540" w:rsidP="008A7540">
      <w:pPr>
        <w:rPr>
          <w:color w:val="404040" w:themeColor="text1" w:themeTint="BF"/>
          <w:sz w:val="36"/>
          <w:szCs w:val="36"/>
        </w:rPr>
      </w:pPr>
    </w:p>
    <w:p w14:paraId="05608258" w14:textId="77777777" w:rsidR="008A7540" w:rsidRPr="00C7568F" w:rsidRDefault="008A7540" w:rsidP="008A7540">
      <w:pPr>
        <w:jc w:val="center"/>
        <w:rPr>
          <w:color w:val="404040" w:themeColor="text1" w:themeTint="BF"/>
          <w:sz w:val="36"/>
          <w:szCs w:val="36"/>
        </w:rPr>
      </w:pPr>
    </w:p>
    <w:p w14:paraId="3845A61C" w14:textId="427BE0B4" w:rsidR="008A7540" w:rsidRPr="00C7568F" w:rsidRDefault="008A7540" w:rsidP="008A7540">
      <w:pPr>
        <w:jc w:val="center"/>
        <w:rPr>
          <w:color w:val="404040" w:themeColor="text1" w:themeTint="BF"/>
          <w:sz w:val="28"/>
          <w:szCs w:val="28"/>
        </w:rPr>
      </w:pPr>
      <w:r w:rsidRPr="00C7568F">
        <w:rPr>
          <w:color w:val="404040" w:themeColor="text1" w:themeTint="BF"/>
          <w:sz w:val="28"/>
          <w:szCs w:val="28"/>
        </w:rPr>
        <w:t xml:space="preserve">In accordance with the Technical Standard of PPN 06/21 </w:t>
      </w:r>
      <w:r w:rsidRPr="00C7568F">
        <w:rPr>
          <w:color w:val="404040" w:themeColor="text1" w:themeTint="BF"/>
          <w:sz w:val="28"/>
          <w:szCs w:val="28"/>
        </w:rPr>
        <w:br/>
        <w:t>for the Completion of Carbon Reduction Plans</w:t>
      </w:r>
    </w:p>
    <w:p w14:paraId="65DE878B" w14:textId="0964644A" w:rsidR="00A34E4C" w:rsidRDefault="00A34E4C" w:rsidP="00A34E4C">
      <w:pPr>
        <w:spacing w:after="360"/>
        <w:rPr>
          <w:sz w:val="36"/>
          <w:szCs w:val="36"/>
        </w:rPr>
      </w:pPr>
    </w:p>
    <w:p w14:paraId="124E4DB4" w14:textId="77777777" w:rsidR="00160A20" w:rsidRDefault="00160A20" w:rsidP="00A34E4C">
      <w:pPr>
        <w:spacing w:after="360"/>
        <w:rPr>
          <w:color w:val="404040" w:themeColor="text1" w:themeTint="BF"/>
          <w:sz w:val="44"/>
          <w:szCs w:val="44"/>
        </w:rPr>
      </w:pPr>
    </w:p>
    <w:p w14:paraId="23B8E31E" w14:textId="77777777" w:rsidR="007B0787" w:rsidRDefault="007B0787" w:rsidP="00A34E4C">
      <w:pPr>
        <w:spacing w:after="360"/>
        <w:rPr>
          <w:color w:val="404040" w:themeColor="text1" w:themeTint="BF"/>
          <w:sz w:val="44"/>
          <w:szCs w:val="44"/>
        </w:rPr>
      </w:pPr>
    </w:p>
    <w:p w14:paraId="072A930B" w14:textId="2E3AE03A" w:rsidR="008A7540" w:rsidRPr="008A7540" w:rsidRDefault="008A7540" w:rsidP="00A34E4C">
      <w:pPr>
        <w:spacing w:after="360"/>
        <w:rPr>
          <w:sz w:val="36"/>
          <w:szCs w:val="36"/>
        </w:rPr>
      </w:pPr>
      <w:r w:rsidRPr="008A7540">
        <w:rPr>
          <w:color w:val="404040" w:themeColor="text1" w:themeTint="BF"/>
          <w:sz w:val="44"/>
          <w:szCs w:val="44"/>
        </w:rPr>
        <w:lastRenderedPageBreak/>
        <w:t>Summary</w:t>
      </w:r>
    </w:p>
    <w:p w14:paraId="72EC7ED9" w14:textId="77777777" w:rsidR="008A7540" w:rsidRPr="008A7540" w:rsidRDefault="008A7540" w:rsidP="008A7540">
      <w:pPr>
        <w:rPr>
          <w:color w:val="404040" w:themeColor="text1" w:themeTint="BF"/>
          <w:sz w:val="26"/>
          <w:szCs w:val="26"/>
        </w:rPr>
      </w:pPr>
      <w:r w:rsidRPr="008A7540">
        <w:rPr>
          <w:b/>
          <w:bCs/>
          <w:color w:val="404040" w:themeColor="text1" w:themeTint="BF"/>
          <w:sz w:val="26"/>
          <w:szCs w:val="26"/>
        </w:rPr>
        <w:t xml:space="preserve">Supplier Name: </w:t>
      </w:r>
      <w:r w:rsidRPr="008A7540">
        <w:rPr>
          <w:color w:val="404040" w:themeColor="text1" w:themeTint="BF"/>
          <w:sz w:val="26"/>
          <w:szCs w:val="26"/>
        </w:rPr>
        <w:t>Shaw Trust Group*</w:t>
      </w:r>
    </w:p>
    <w:p w14:paraId="75CB493C" w14:textId="77777777" w:rsidR="008A7540" w:rsidRPr="008A7540" w:rsidRDefault="008A7540" w:rsidP="008A7540">
      <w:pPr>
        <w:rPr>
          <w:color w:val="404040" w:themeColor="text1" w:themeTint="BF"/>
          <w:sz w:val="26"/>
          <w:szCs w:val="26"/>
        </w:rPr>
      </w:pPr>
      <w:r w:rsidRPr="008A7540">
        <w:rPr>
          <w:b/>
          <w:bCs/>
          <w:color w:val="404040" w:themeColor="text1" w:themeTint="BF"/>
          <w:sz w:val="26"/>
          <w:szCs w:val="26"/>
        </w:rPr>
        <w:t xml:space="preserve">Publication Date: </w:t>
      </w:r>
      <w:r w:rsidRPr="008A7540">
        <w:rPr>
          <w:color w:val="404040" w:themeColor="text1" w:themeTint="BF"/>
          <w:sz w:val="26"/>
          <w:szCs w:val="26"/>
        </w:rPr>
        <w:t>22</w:t>
      </w:r>
      <w:r w:rsidRPr="008A7540">
        <w:rPr>
          <w:color w:val="404040" w:themeColor="text1" w:themeTint="BF"/>
          <w:sz w:val="26"/>
          <w:szCs w:val="26"/>
          <w:vertAlign w:val="superscript"/>
        </w:rPr>
        <w:t>nd</w:t>
      </w:r>
      <w:r w:rsidRPr="008A7540">
        <w:rPr>
          <w:color w:val="404040" w:themeColor="text1" w:themeTint="BF"/>
          <w:sz w:val="26"/>
          <w:szCs w:val="26"/>
        </w:rPr>
        <w:t xml:space="preserve"> September 2021</w:t>
      </w:r>
    </w:p>
    <w:p w14:paraId="49752D6F" w14:textId="39166B3E" w:rsidR="008A7540" w:rsidRPr="00A34E4C" w:rsidRDefault="008A7540" w:rsidP="008A7540">
      <w:pPr>
        <w:rPr>
          <w:color w:val="404040" w:themeColor="text1" w:themeTint="BF"/>
          <w:sz w:val="26"/>
          <w:szCs w:val="26"/>
        </w:rPr>
      </w:pPr>
      <w:r w:rsidRPr="008A7540">
        <w:rPr>
          <w:b/>
          <w:bCs/>
          <w:color w:val="404040" w:themeColor="text1" w:themeTint="BF"/>
          <w:sz w:val="26"/>
          <w:szCs w:val="26"/>
        </w:rPr>
        <w:t xml:space="preserve">Commitment to </w:t>
      </w:r>
      <w:r w:rsidR="00346660">
        <w:rPr>
          <w:b/>
          <w:bCs/>
          <w:color w:val="404040" w:themeColor="text1" w:themeTint="BF"/>
          <w:sz w:val="26"/>
          <w:szCs w:val="26"/>
        </w:rPr>
        <w:t>A</w:t>
      </w:r>
      <w:r w:rsidRPr="008A7540">
        <w:rPr>
          <w:b/>
          <w:bCs/>
          <w:color w:val="404040" w:themeColor="text1" w:themeTint="BF"/>
          <w:sz w:val="26"/>
          <w:szCs w:val="26"/>
        </w:rPr>
        <w:t xml:space="preserve">chieving Net-Zero: </w:t>
      </w:r>
      <w:r w:rsidRPr="008A7540">
        <w:rPr>
          <w:color w:val="404040" w:themeColor="text1" w:themeTint="BF"/>
          <w:sz w:val="26"/>
          <w:szCs w:val="26"/>
        </w:rPr>
        <w:t>Shaw Trust Group is committed to achieving Net-Zero emissions by 2030</w:t>
      </w:r>
    </w:p>
    <w:p w14:paraId="689E6C20" w14:textId="77777777" w:rsidR="00A34E4C" w:rsidRPr="00A34E4C" w:rsidRDefault="00A34E4C" w:rsidP="008A7540">
      <w:pPr>
        <w:rPr>
          <w:color w:val="404040" w:themeColor="text1" w:themeTint="BF"/>
          <w:sz w:val="12"/>
          <w:szCs w:val="12"/>
        </w:rPr>
      </w:pPr>
    </w:p>
    <w:tbl>
      <w:tblPr>
        <w:tblW w:w="12895" w:type="dxa"/>
        <w:tblInd w:w="665" w:type="dxa"/>
        <w:tblCellMar>
          <w:left w:w="0" w:type="dxa"/>
          <w:right w:w="0" w:type="dxa"/>
        </w:tblCellMar>
        <w:tblLook w:val="0420" w:firstRow="1" w:lastRow="0" w:firstColumn="0" w:lastColumn="0" w:noHBand="0" w:noVBand="1"/>
      </w:tblPr>
      <w:tblGrid>
        <w:gridCol w:w="7835"/>
        <w:gridCol w:w="2552"/>
        <w:gridCol w:w="2508"/>
      </w:tblGrid>
      <w:tr w:rsidR="008A7540" w:rsidRPr="008A7540" w14:paraId="166A89CD" w14:textId="77777777" w:rsidTr="008A7540">
        <w:trPr>
          <w:trHeight w:val="684"/>
        </w:trPr>
        <w:tc>
          <w:tcPr>
            <w:tcW w:w="7835" w:type="dxa"/>
            <w:tcBorders>
              <w:top w:val="single" w:sz="4" w:space="0" w:color="70AD47"/>
              <w:left w:val="single" w:sz="4" w:space="0" w:color="70AD47"/>
              <w:bottom w:val="single" w:sz="4" w:space="0" w:color="70AD47"/>
              <w:right w:val="nil"/>
            </w:tcBorders>
            <w:shd w:val="clear" w:color="auto" w:fill="70AD47"/>
            <w:tcMar>
              <w:top w:w="54" w:type="dxa"/>
              <w:left w:w="108" w:type="dxa"/>
              <w:bottom w:w="54" w:type="dxa"/>
              <w:right w:w="108" w:type="dxa"/>
            </w:tcMar>
            <w:vAlign w:val="center"/>
            <w:hideMark/>
          </w:tcPr>
          <w:p w14:paraId="053C4619" w14:textId="77777777" w:rsidR="008A7540" w:rsidRPr="008A7540" w:rsidRDefault="008A7540" w:rsidP="008A7540">
            <w:r w:rsidRPr="008A7540">
              <w:rPr>
                <w:b/>
                <w:bCs/>
              </w:rPr>
              <w:t>Emissions Scope</w:t>
            </w:r>
          </w:p>
        </w:tc>
        <w:tc>
          <w:tcPr>
            <w:tcW w:w="2552" w:type="dxa"/>
            <w:tcBorders>
              <w:top w:val="single" w:sz="4" w:space="0" w:color="70AD47"/>
              <w:left w:val="nil"/>
              <w:bottom w:val="single" w:sz="4" w:space="0" w:color="70AD47"/>
              <w:right w:val="nil"/>
            </w:tcBorders>
            <w:shd w:val="clear" w:color="auto" w:fill="70AD47"/>
            <w:tcMar>
              <w:top w:w="54" w:type="dxa"/>
              <w:left w:w="108" w:type="dxa"/>
              <w:bottom w:w="54" w:type="dxa"/>
              <w:right w:w="108" w:type="dxa"/>
            </w:tcMar>
            <w:vAlign w:val="center"/>
            <w:hideMark/>
          </w:tcPr>
          <w:p w14:paraId="7459D1B8" w14:textId="77777777" w:rsidR="008A7540" w:rsidRPr="008A7540" w:rsidRDefault="008A7540" w:rsidP="008A7540">
            <w:r w:rsidRPr="008A7540">
              <w:rPr>
                <w:b/>
                <w:bCs/>
              </w:rPr>
              <w:t>Baseline Emissions (FY 2019-20)</w:t>
            </w:r>
          </w:p>
        </w:tc>
        <w:tc>
          <w:tcPr>
            <w:tcW w:w="2508" w:type="dxa"/>
            <w:tcBorders>
              <w:top w:val="single" w:sz="4" w:space="0" w:color="70AD47"/>
              <w:left w:val="nil"/>
              <w:bottom w:val="single" w:sz="4" w:space="0" w:color="70AD47"/>
              <w:right w:val="single" w:sz="4" w:space="0" w:color="70AD47"/>
            </w:tcBorders>
            <w:shd w:val="clear" w:color="auto" w:fill="70AD47"/>
            <w:tcMar>
              <w:top w:w="54" w:type="dxa"/>
              <w:left w:w="108" w:type="dxa"/>
              <w:bottom w:w="54" w:type="dxa"/>
              <w:right w:w="108" w:type="dxa"/>
            </w:tcMar>
            <w:vAlign w:val="center"/>
            <w:hideMark/>
          </w:tcPr>
          <w:p w14:paraId="34CF793B" w14:textId="77777777" w:rsidR="008A7540" w:rsidRPr="008A7540" w:rsidRDefault="008A7540" w:rsidP="008A7540">
            <w:r w:rsidRPr="008A7540">
              <w:rPr>
                <w:b/>
                <w:bCs/>
              </w:rPr>
              <w:t>Current Emissions (FY 2020-21)</w:t>
            </w:r>
          </w:p>
        </w:tc>
      </w:tr>
      <w:tr w:rsidR="008A7540" w:rsidRPr="008A7540" w14:paraId="41FBFB5D" w14:textId="77777777" w:rsidTr="008A7540">
        <w:trPr>
          <w:trHeight w:val="576"/>
        </w:trPr>
        <w:tc>
          <w:tcPr>
            <w:tcW w:w="7835" w:type="dxa"/>
            <w:tcBorders>
              <w:top w:val="single" w:sz="4" w:space="0" w:color="70AD47"/>
              <w:left w:val="single" w:sz="4" w:space="0" w:color="70AD47"/>
              <w:bottom w:val="single" w:sz="4" w:space="0" w:color="70AD47"/>
              <w:right w:val="nil"/>
            </w:tcBorders>
            <w:shd w:val="clear" w:color="auto" w:fill="auto"/>
            <w:tcMar>
              <w:top w:w="54" w:type="dxa"/>
              <w:left w:w="108" w:type="dxa"/>
              <w:bottom w:w="54" w:type="dxa"/>
              <w:right w:w="108" w:type="dxa"/>
            </w:tcMar>
            <w:vAlign w:val="center"/>
            <w:hideMark/>
          </w:tcPr>
          <w:p w14:paraId="10354E40" w14:textId="77777777" w:rsidR="008A7540" w:rsidRPr="008A7540" w:rsidRDefault="008A7540" w:rsidP="008A7540">
            <w:pPr>
              <w:rPr>
                <w:b/>
                <w:bCs/>
              </w:rPr>
            </w:pPr>
            <w:r w:rsidRPr="008A7540">
              <w:rPr>
                <w:b/>
                <w:bCs/>
              </w:rPr>
              <w:t>Scope 1 Emissions</w:t>
            </w:r>
          </w:p>
          <w:p w14:paraId="68079961" w14:textId="77777777" w:rsidR="008A7540" w:rsidRPr="008A7540" w:rsidRDefault="008A7540" w:rsidP="008A7540">
            <w:r w:rsidRPr="008A7540">
              <w:t>(Natural Gas / Company Vehicles / Additional Fuel / Refrigerants)</w:t>
            </w:r>
          </w:p>
        </w:tc>
        <w:tc>
          <w:tcPr>
            <w:tcW w:w="2552" w:type="dxa"/>
            <w:tcBorders>
              <w:top w:val="single" w:sz="4" w:space="0" w:color="70AD47"/>
              <w:left w:val="nil"/>
              <w:bottom w:val="single" w:sz="4" w:space="0" w:color="70AD47"/>
              <w:right w:val="nil"/>
            </w:tcBorders>
            <w:shd w:val="clear" w:color="auto" w:fill="auto"/>
            <w:tcMar>
              <w:top w:w="54" w:type="dxa"/>
              <w:left w:w="108" w:type="dxa"/>
              <w:bottom w:w="54" w:type="dxa"/>
              <w:right w:w="108" w:type="dxa"/>
            </w:tcMar>
            <w:vAlign w:val="center"/>
            <w:hideMark/>
          </w:tcPr>
          <w:p w14:paraId="06941DEB" w14:textId="77777777" w:rsidR="008A7540" w:rsidRPr="008A7540" w:rsidRDefault="008A7540" w:rsidP="008A7540">
            <w:r w:rsidRPr="008A7540">
              <w:t>672.36 tCO</w:t>
            </w:r>
            <w:r w:rsidRPr="008A7540">
              <w:rPr>
                <w:vertAlign w:val="subscript"/>
              </w:rPr>
              <w:t>2</w:t>
            </w:r>
            <w:r w:rsidRPr="008A7540">
              <w:t>e</w:t>
            </w:r>
          </w:p>
        </w:tc>
        <w:tc>
          <w:tcPr>
            <w:tcW w:w="2508" w:type="dxa"/>
            <w:tcBorders>
              <w:top w:val="single" w:sz="4" w:space="0" w:color="70AD47"/>
              <w:left w:val="nil"/>
              <w:bottom w:val="single" w:sz="4" w:space="0" w:color="70AD47"/>
              <w:right w:val="single" w:sz="4" w:space="0" w:color="70AD47"/>
            </w:tcBorders>
            <w:shd w:val="clear" w:color="auto" w:fill="auto"/>
            <w:tcMar>
              <w:top w:w="54" w:type="dxa"/>
              <w:left w:w="108" w:type="dxa"/>
              <w:bottom w:w="54" w:type="dxa"/>
              <w:right w:w="108" w:type="dxa"/>
            </w:tcMar>
            <w:vAlign w:val="center"/>
            <w:hideMark/>
          </w:tcPr>
          <w:p w14:paraId="7B4C87A0" w14:textId="77777777" w:rsidR="008A7540" w:rsidRPr="008A7540" w:rsidRDefault="008A7540" w:rsidP="008A7540">
            <w:r w:rsidRPr="008A7540">
              <w:t>777.00 tCO</w:t>
            </w:r>
            <w:r w:rsidRPr="008A7540">
              <w:rPr>
                <w:vertAlign w:val="subscript"/>
              </w:rPr>
              <w:t>2</w:t>
            </w:r>
            <w:r w:rsidRPr="008A7540">
              <w:t>e</w:t>
            </w:r>
          </w:p>
        </w:tc>
      </w:tr>
      <w:tr w:rsidR="008A7540" w:rsidRPr="008A7540" w14:paraId="475C53E2" w14:textId="77777777" w:rsidTr="008A7540">
        <w:trPr>
          <w:trHeight w:val="576"/>
        </w:trPr>
        <w:tc>
          <w:tcPr>
            <w:tcW w:w="7835" w:type="dxa"/>
            <w:tcBorders>
              <w:top w:val="single" w:sz="4" w:space="0" w:color="70AD47"/>
              <w:left w:val="single" w:sz="4" w:space="0" w:color="70AD47"/>
              <w:bottom w:val="single" w:sz="4" w:space="0" w:color="70AD47"/>
              <w:right w:val="nil"/>
            </w:tcBorders>
            <w:shd w:val="clear" w:color="auto" w:fill="auto"/>
            <w:tcMar>
              <w:top w:w="54" w:type="dxa"/>
              <w:left w:w="108" w:type="dxa"/>
              <w:bottom w:w="54" w:type="dxa"/>
              <w:right w:w="108" w:type="dxa"/>
            </w:tcMar>
            <w:vAlign w:val="center"/>
            <w:hideMark/>
          </w:tcPr>
          <w:p w14:paraId="7AE6EA89" w14:textId="77777777" w:rsidR="008A7540" w:rsidRPr="008A7540" w:rsidRDefault="008A7540" w:rsidP="008A7540">
            <w:pPr>
              <w:rPr>
                <w:b/>
                <w:bCs/>
              </w:rPr>
            </w:pPr>
            <w:r w:rsidRPr="008A7540">
              <w:rPr>
                <w:b/>
                <w:bCs/>
              </w:rPr>
              <w:t>Scope 2 Emissions</w:t>
            </w:r>
          </w:p>
          <w:p w14:paraId="07C07C1D" w14:textId="77777777" w:rsidR="008A7540" w:rsidRPr="008A7540" w:rsidRDefault="008A7540" w:rsidP="008A7540">
            <w:r w:rsidRPr="008A7540">
              <w:t>(Purchased Electricity)</w:t>
            </w:r>
          </w:p>
        </w:tc>
        <w:tc>
          <w:tcPr>
            <w:tcW w:w="2552" w:type="dxa"/>
            <w:tcBorders>
              <w:top w:val="single" w:sz="4" w:space="0" w:color="70AD47"/>
              <w:left w:val="nil"/>
              <w:bottom w:val="single" w:sz="4" w:space="0" w:color="70AD47"/>
              <w:right w:val="nil"/>
            </w:tcBorders>
            <w:shd w:val="clear" w:color="auto" w:fill="auto"/>
            <w:tcMar>
              <w:top w:w="54" w:type="dxa"/>
              <w:left w:w="108" w:type="dxa"/>
              <w:bottom w:w="54" w:type="dxa"/>
              <w:right w:w="108" w:type="dxa"/>
            </w:tcMar>
            <w:vAlign w:val="center"/>
            <w:hideMark/>
          </w:tcPr>
          <w:p w14:paraId="7E661F33" w14:textId="77777777" w:rsidR="008A7540" w:rsidRPr="008A7540" w:rsidRDefault="008A7540" w:rsidP="008A7540">
            <w:r w:rsidRPr="008A7540">
              <w:t>411.29 tCO</w:t>
            </w:r>
            <w:r w:rsidRPr="008A7540">
              <w:rPr>
                <w:vertAlign w:val="subscript"/>
              </w:rPr>
              <w:t>2</w:t>
            </w:r>
            <w:r w:rsidRPr="008A7540">
              <w:t>e</w:t>
            </w:r>
          </w:p>
        </w:tc>
        <w:tc>
          <w:tcPr>
            <w:tcW w:w="2508" w:type="dxa"/>
            <w:tcBorders>
              <w:top w:val="single" w:sz="4" w:space="0" w:color="70AD47"/>
              <w:left w:val="nil"/>
              <w:bottom w:val="single" w:sz="4" w:space="0" w:color="70AD47"/>
              <w:right w:val="single" w:sz="4" w:space="0" w:color="70AD47"/>
            </w:tcBorders>
            <w:shd w:val="clear" w:color="auto" w:fill="auto"/>
            <w:tcMar>
              <w:top w:w="54" w:type="dxa"/>
              <w:left w:w="108" w:type="dxa"/>
              <w:bottom w:w="54" w:type="dxa"/>
              <w:right w:w="108" w:type="dxa"/>
            </w:tcMar>
            <w:vAlign w:val="center"/>
            <w:hideMark/>
          </w:tcPr>
          <w:p w14:paraId="2EC7F059" w14:textId="77777777" w:rsidR="008A7540" w:rsidRPr="008A7540" w:rsidRDefault="008A7540" w:rsidP="008A7540">
            <w:r w:rsidRPr="008A7540">
              <w:t>352.46 tCO</w:t>
            </w:r>
            <w:r w:rsidRPr="008A7540">
              <w:rPr>
                <w:vertAlign w:val="subscript"/>
              </w:rPr>
              <w:t>2</w:t>
            </w:r>
            <w:r w:rsidRPr="008A7540">
              <w:t>e</w:t>
            </w:r>
          </w:p>
        </w:tc>
      </w:tr>
      <w:tr w:rsidR="008A7540" w:rsidRPr="008A7540" w14:paraId="6CE67115" w14:textId="77777777" w:rsidTr="008A7540">
        <w:trPr>
          <w:trHeight w:val="1170"/>
        </w:trPr>
        <w:tc>
          <w:tcPr>
            <w:tcW w:w="7835" w:type="dxa"/>
            <w:tcBorders>
              <w:top w:val="single" w:sz="4" w:space="0" w:color="70AD47"/>
              <w:left w:val="single" w:sz="4" w:space="0" w:color="70AD47"/>
              <w:bottom w:val="single" w:sz="4" w:space="0" w:color="70AD47"/>
              <w:right w:val="nil"/>
            </w:tcBorders>
            <w:shd w:val="clear" w:color="auto" w:fill="auto"/>
            <w:tcMar>
              <w:top w:w="54" w:type="dxa"/>
              <w:left w:w="108" w:type="dxa"/>
              <w:bottom w:w="54" w:type="dxa"/>
              <w:right w:w="108" w:type="dxa"/>
            </w:tcMar>
            <w:vAlign w:val="center"/>
            <w:hideMark/>
          </w:tcPr>
          <w:p w14:paraId="3C0ADEDE" w14:textId="77777777" w:rsidR="008A7540" w:rsidRPr="008A7540" w:rsidRDefault="008A7540" w:rsidP="008A7540">
            <w:pPr>
              <w:rPr>
                <w:b/>
                <w:bCs/>
              </w:rPr>
            </w:pPr>
            <w:r w:rsidRPr="008A7540">
              <w:rPr>
                <w:b/>
                <w:bCs/>
              </w:rPr>
              <w:t>Scope 3 Emissions</w:t>
            </w:r>
          </w:p>
          <w:p w14:paraId="0814B55B" w14:textId="568C1E24" w:rsidR="008A7540" w:rsidRPr="008A7540" w:rsidRDefault="008A7540" w:rsidP="008A7540">
            <w:r w:rsidRPr="008A7540">
              <w:t>(Data Centres / The Cloud / Water Supply &amp; Treatment / Personal &amp; Rental Vehicles / Public Transport / Hotel Stay / Employee Commuting / Delivery of Purchased &amp; Sold Goods</w:t>
            </w:r>
            <w:r w:rsidR="00AE35A5">
              <w:t xml:space="preserve"> (</w:t>
            </w:r>
            <w:r w:rsidR="0004206C">
              <w:t>U</w:t>
            </w:r>
            <w:r w:rsidR="00AE35A5">
              <w:t>pstream and Downstr</w:t>
            </w:r>
            <w:r w:rsidR="0004206C">
              <w:t>eam Transportation)</w:t>
            </w:r>
            <w:r w:rsidRPr="008A7540">
              <w:t xml:space="preserve"> / Laptops / Paper / Stationary / Plastic / Other Purchased Goods / Waste &amp; Recycling / Electricity Transmission &amp; Distribution / Well-to-Tank)</w:t>
            </w:r>
          </w:p>
        </w:tc>
        <w:tc>
          <w:tcPr>
            <w:tcW w:w="2552" w:type="dxa"/>
            <w:tcBorders>
              <w:top w:val="single" w:sz="4" w:space="0" w:color="70AD47"/>
              <w:left w:val="nil"/>
              <w:bottom w:val="single" w:sz="4" w:space="0" w:color="70AD47"/>
              <w:right w:val="nil"/>
            </w:tcBorders>
            <w:shd w:val="clear" w:color="auto" w:fill="auto"/>
            <w:tcMar>
              <w:top w:w="54" w:type="dxa"/>
              <w:left w:w="108" w:type="dxa"/>
              <w:bottom w:w="54" w:type="dxa"/>
              <w:right w:w="108" w:type="dxa"/>
            </w:tcMar>
            <w:vAlign w:val="center"/>
            <w:hideMark/>
          </w:tcPr>
          <w:p w14:paraId="1D7E1B35" w14:textId="77777777" w:rsidR="008A7540" w:rsidRPr="008A7540" w:rsidRDefault="008A7540" w:rsidP="008A7540">
            <w:r w:rsidRPr="008A7540">
              <w:t>1,988.03 tCO</w:t>
            </w:r>
            <w:r w:rsidRPr="008A7540">
              <w:rPr>
                <w:vertAlign w:val="subscript"/>
              </w:rPr>
              <w:t>2</w:t>
            </w:r>
            <w:r w:rsidRPr="008A7540">
              <w:t>e</w:t>
            </w:r>
          </w:p>
        </w:tc>
        <w:tc>
          <w:tcPr>
            <w:tcW w:w="2508" w:type="dxa"/>
            <w:tcBorders>
              <w:top w:val="single" w:sz="4" w:space="0" w:color="70AD47"/>
              <w:left w:val="nil"/>
              <w:bottom w:val="single" w:sz="4" w:space="0" w:color="70AD47"/>
              <w:right w:val="single" w:sz="4" w:space="0" w:color="70AD47"/>
            </w:tcBorders>
            <w:shd w:val="clear" w:color="auto" w:fill="auto"/>
            <w:tcMar>
              <w:top w:w="54" w:type="dxa"/>
              <w:left w:w="108" w:type="dxa"/>
              <w:bottom w:w="54" w:type="dxa"/>
              <w:right w:w="108" w:type="dxa"/>
            </w:tcMar>
            <w:vAlign w:val="center"/>
            <w:hideMark/>
          </w:tcPr>
          <w:p w14:paraId="09E68E1C" w14:textId="77777777" w:rsidR="008A7540" w:rsidRPr="008A7540" w:rsidRDefault="008A7540" w:rsidP="008A7540">
            <w:r w:rsidRPr="008A7540">
              <w:t>1,970.08 tCO</w:t>
            </w:r>
            <w:r w:rsidRPr="008A7540">
              <w:rPr>
                <w:vertAlign w:val="subscript"/>
              </w:rPr>
              <w:t>2</w:t>
            </w:r>
            <w:r w:rsidRPr="008A7540">
              <w:t>e</w:t>
            </w:r>
          </w:p>
        </w:tc>
      </w:tr>
      <w:tr w:rsidR="008A7540" w:rsidRPr="008A7540" w14:paraId="63AED615" w14:textId="77777777" w:rsidTr="008A7540">
        <w:trPr>
          <w:trHeight w:val="378"/>
        </w:trPr>
        <w:tc>
          <w:tcPr>
            <w:tcW w:w="7835" w:type="dxa"/>
            <w:tcBorders>
              <w:top w:val="single" w:sz="4" w:space="0" w:color="70AD47"/>
              <w:left w:val="single" w:sz="4" w:space="0" w:color="70AD47"/>
              <w:bottom w:val="single" w:sz="4" w:space="0" w:color="70AD47"/>
              <w:right w:val="nil"/>
            </w:tcBorders>
            <w:shd w:val="clear" w:color="auto" w:fill="auto"/>
            <w:tcMar>
              <w:top w:w="54" w:type="dxa"/>
              <w:left w:w="108" w:type="dxa"/>
              <w:bottom w:w="54" w:type="dxa"/>
              <w:right w:w="108" w:type="dxa"/>
            </w:tcMar>
            <w:vAlign w:val="center"/>
            <w:hideMark/>
          </w:tcPr>
          <w:p w14:paraId="5F8D1336" w14:textId="77777777" w:rsidR="008A7540" w:rsidRPr="008A7540" w:rsidRDefault="008A7540" w:rsidP="008A7540">
            <w:r w:rsidRPr="008A7540">
              <w:t xml:space="preserve">Total Emissions </w:t>
            </w:r>
          </w:p>
        </w:tc>
        <w:tc>
          <w:tcPr>
            <w:tcW w:w="2552" w:type="dxa"/>
            <w:tcBorders>
              <w:top w:val="single" w:sz="4" w:space="0" w:color="70AD47"/>
              <w:left w:val="nil"/>
              <w:bottom w:val="single" w:sz="4" w:space="0" w:color="70AD47"/>
              <w:right w:val="nil"/>
            </w:tcBorders>
            <w:shd w:val="clear" w:color="auto" w:fill="auto"/>
            <w:tcMar>
              <w:top w:w="54" w:type="dxa"/>
              <w:left w:w="108" w:type="dxa"/>
              <w:bottom w:w="54" w:type="dxa"/>
              <w:right w:w="108" w:type="dxa"/>
            </w:tcMar>
            <w:vAlign w:val="center"/>
            <w:hideMark/>
          </w:tcPr>
          <w:p w14:paraId="4226DDB4" w14:textId="77777777" w:rsidR="008A7540" w:rsidRPr="008A7540" w:rsidRDefault="008A7540" w:rsidP="008A7540">
            <w:r w:rsidRPr="008A7540">
              <w:rPr>
                <w:b/>
                <w:bCs/>
              </w:rPr>
              <w:t>3,071.69 tCO</w:t>
            </w:r>
            <w:r w:rsidRPr="008A7540">
              <w:rPr>
                <w:b/>
                <w:bCs/>
                <w:vertAlign w:val="subscript"/>
              </w:rPr>
              <w:t>2</w:t>
            </w:r>
            <w:r w:rsidRPr="008A7540">
              <w:rPr>
                <w:b/>
                <w:bCs/>
              </w:rPr>
              <w:t>e</w:t>
            </w:r>
          </w:p>
        </w:tc>
        <w:tc>
          <w:tcPr>
            <w:tcW w:w="2508" w:type="dxa"/>
            <w:tcBorders>
              <w:top w:val="single" w:sz="4" w:space="0" w:color="70AD47"/>
              <w:left w:val="nil"/>
              <w:bottom w:val="single" w:sz="4" w:space="0" w:color="70AD47"/>
              <w:right w:val="single" w:sz="4" w:space="0" w:color="70AD47"/>
            </w:tcBorders>
            <w:shd w:val="clear" w:color="auto" w:fill="auto"/>
            <w:tcMar>
              <w:top w:w="54" w:type="dxa"/>
              <w:left w:w="108" w:type="dxa"/>
              <w:bottom w:w="54" w:type="dxa"/>
              <w:right w:w="108" w:type="dxa"/>
            </w:tcMar>
            <w:vAlign w:val="center"/>
            <w:hideMark/>
          </w:tcPr>
          <w:p w14:paraId="6814091F" w14:textId="77777777" w:rsidR="008A7540" w:rsidRPr="008A7540" w:rsidRDefault="008A7540" w:rsidP="008A7540">
            <w:r w:rsidRPr="008A7540">
              <w:rPr>
                <w:b/>
                <w:bCs/>
              </w:rPr>
              <w:t>3,099.54 tCO</w:t>
            </w:r>
            <w:r w:rsidRPr="008A7540">
              <w:rPr>
                <w:b/>
                <w:bCs/>
                <w:vertAlign w:val="subscript"/>
              </w:rPr>
              <w:t>2</w:t>
            </w:r>
            <w:r w:rsidRPr="008A7540">
              <w:rPr>
                <w:b/>
                <w:bCs/>
              </w:rPr>
              <w:t>e</w:t>
            </w:r>
          </w:p>
        </w:tc>
      </w:tr>
    </w:tbl>
    <w:p w14:paraId="555D7A52" w14:textId="77777777" w:rsidR="0004206C" w:rsidRPr="0004206C" w:rsidRDefault="0004206C" w:rsidP="008A7540">
      <w:pPr>
        <w:rPr>
          <w:color w:val="404040" w:themeColor="text1" w:themeTint="BF"/>
          <w:sz w:val="16"/>
          <w:szCs w:val="16"/>
        </w:rPr>
      </w:pPr>
    </w:p>
    <w:p w14:paraId="0EC837E7" w14:textId="10061B99" w:rsidR="008A7540" w:rsidRPr="008A7540" w:rsidRDefault="008A7540" w:rsidP="008A7540">
      <w:pPr>
        <w:rPr>
          <w:color w:val="404040" w:themeColor="text1" w:themeTint="BF"/>
        </w:rPr>
      </w:pPr>
      <w:r w:rsidRPr="008A7540">
        <w:rPr>
          <w:color w:val="404040" w:themeColor="text1" w:themeTint="BF"/>
        </w:rPr>
        <w:t>*This plan is for the Shaw Trust Group excluding Shaw Education Trust, which is a separate contracting and reporting entity. Shaw Trust does not have Financial Control of Shaw Education Trust according to the definition set out in the GHG Protocol’s Corporate Standard.</w:t>
      </w:r>
    </w:p>
    <w:p w14:paraId="438599F0" w14:textId="5B285213" w:rsidR="008A7540" w:rsidRPr="00A34E4C" w:rsidRDefault="008A7540" w:rsidP="00160A20">
      <w:pPr>
        <w:spacing w:after="360"/>
        <w:ind w:firstLine="720"/>
        <w:rPr>
          <w:color w:val="404040" w:themeColor="text1" w:themeTint="BF"/>
          <w:sz w:val="44"/>
          <w:szCs w:val="44"/>
        </w:rPr>
      </w:pPr>
      <w:r w:rsidRPr="00A34E4C">
        <w:rPr>
          <w:color w:val="404040" w:themeColor="text1" w:themeTint="BF"/>
          <w:sz w:val="44"/>
          <w:szCs w:val="44"/>
        </w:rPr>
        <w:lastRenderedPageBreak/>
        <w:t>Reduction Targets</w:t>
      </w:r>
    </w:p>
    <w:p w14:paraId="70E9BDC6" w14:textId="2AB83514" w:rsidR="008A7540" w:rsidRPr="008A7540" w:rsidRDefault="008A7540" w:rsidP="00A34E4C">
      <w:pPr>
        <w:spacing w:after="240"/>
        <w:ind w:firstLine="720"/>
        <w:rPr>
          <w:color w:val="404040" w:themeColor="text1" w:themeTint="BF"/>
          <w:sz w:val="26"/>
          <w:szCs w:val="26"/>
        </w:rPr>
      </w:pPr>
      <w:r w:rsidRPr="000E2CBE">
        <w:rPr>
          <w:color w:val="404040" w:themeColor="text1" w:themeTint="BF"/>
          <w:sz w:val="26"/>
          <w:szCs w:val="26"/>
        </w:rPr>
        <w:t>T</w:t>
      </w:r>
      <w:r w:rsidRPr="008A7540">
        <w:rPr>
          <w:color w:val="404040" w:themeColor="text1" w:themeTint="BF"/>
          <w:sz w:val="26"/>
          <w:szCs w:val="26"/>
        </w:rPr>
        <w:t>o achiev</w:t>
      </w:r>
      <w:r w:rsidRPr="000E2CBE">
        <w:rPr>
          <w:color w:val="404040" w:themeColor="text1" w:themeTint="BF"/>
          <w:sz w:val="26"/>
          <w:szCs w:val="26"/>
        </w:rPr>
        <w:t>e</w:t>
      </w:r>
      <w:r w:rsidRPr="008A7540">
        <w:rPr>
          <w:color w:val="404040" w:themeColor="text1" w:themeTint="BF"/>
          <w:sz w:val="26"/>
          <w:szCs w:val="26"/>
        </w:rPr>
        <w:t xml:space="preserve"> Net-Zero, we have adopted the following carbon reduction targets:</w:t>
      </w:r>
    </w:p>
    <w:p w14:paraId="52224000" w14:textId="77777777" w:rsidR="008A7540" w:rsidRPr="008A7540" w:rsidRDefault="008A7540" w:rsidP="008A7540">
      <w:pPr>
        <w:numPr>
          <w:ilvl w:val="1"/>
          <w:numId w:val="1"/>
        </w:numPr>
        <w:rPr>
          <w:color w:val="404040" w:themeColor="text1" w:themeTint="BF"/>
          <w:sz w:val="26"/>
          <w:szCs w:val="26"/>
        </w:rPr>
      </w:pPr>
      <w:r w:rsidRPr="008A7540">
        <w:rPr>
          <w:color w:val="404040" w:themeColor="text1" w:themeTint="BF"/>
          <w:sz w:val="26"/>
          <w:szCs w:val="26"/>
        </w:rPr>
        <w:t>To achieve net-zero by reducing carbon emissions and offsetting residual emissions by 2030</w:t>
      </w:r>
    </w:p>
    <w:p w14:paraId="06FE2F92" w14:textId="77759068" w:rsidR="008A7540" w:rsidRPr="000E2CBE" w:rsidRDefault="008A7540" w:rsidP="00A34E4C">
      <w:pPr>
        <w:spacing w:line="264" w:lineRule="auto"/>
        <w:ind w:left="720"/>
        <w:rPr>
          <w:color w:val="404040" w:themeColor="text1" w:themeTint="BF"/>
          <w:sz w:val="36"/>
          <w:szCs w:val="36"/>
        </w:rPr>
      </w:pPr>
      <w:r w:rsidRPr="008A7540">
        <w:rPr>
          <w:color w:val="404040" w:themeColor="text1" w:themeTint="BF"/>
          <w:sz w:val="26"/>
          <w:szCs w:val="26"/>
        </w:rPr>
        <w:t xml:space="preserve">We project that carbon emissions will decrease to </w:t>
      </w:r>
      <w:r w:rsidRPr="008A7540">
        <w:rPr>
          <w:b/>
          <w:bCs/>
          <w:color w:val="404040" w:themeColor="text1" w:themeTint="BF"/>
          <w:sz w:val="26"/>
          <w:szCs w:val="26"/>
        </w:rPr>
        <w:t>1,547.71 tCO</w:t>
      </w:r>
      <w:r w:rsidRPr="008A7540">
        <w:rPr>
          <w:b/>
          <w:bCs/>
          <w:color w:val="404040" w:themeColor="text1" w:themeTint="BF"/>
          <w:sz w:val="26"/>
          <w:szCs w:val="26"/>
          <w:vertAlign w:val="subscript"/>
        </w:rPr>
        <w:t>2</w:t>
      </w:r>
      <w:r w:rsidRPr="008A7540">
        <w:rPr>
          <w:b/>
          <w:bCs/>
          <w:color w:val="404040" w:themeColor="text1" w:themeTint="BF"/>
          <w:sz w:val="26"/>
          <w:szCs w:val="26"/>
        </w:rPr>
        <w:t xml:space="preserve">e </w:t>
      </w:r>
      <w:r w:rsidRPr="008A7540">
        <w:rPr>
          <w:color w:val="404040" w:themeColor="text1" w:themeTint="BF"/>
          <w:sz w:val="26"/>
          <w:szCs w:val="26"/>
        </w:rPr>
        <w:t xml:space="preserve">by FY 2029-30. This is a reduction of approximately 50% on the baseline year (FY 2019-20). </w:t>
      </w:r>
    </w:p>
    <w:p w14:paraId="7431CCF4" w14:textId="3590B17D" w:rsidR="008A7540" w:rsidRDefault="008A7540" w:rsidP="008A7540">
      <w:pPr>
        <w:ind w:left="720"/>
        <w:rPr>
          <w:color w:val="404040" w:themeColor="text1" w:themeTint="BF"/>
          <w:sz w:val="36"/>
          <w:szCs w:val="36"/>
        </w:rPr>
      </w:pPr>
    </w:p>
    <w:p w14:paraId="0AF5E433" w14:textId="2E8FB59F" w:rsidR="008A7540" w:rsidRPr="008A7540" w:rsidRDefault="008A7540" w:rsidP="008A7540">
      <w:pPr>
        <w:ind w:left="720"/>
        <w:rPr>
          <w:sz w:val="26"/>
          <w:szCs w:val="26"/>
        </w:rPr>
      </w:pPr>
      <w:r w:rsidRPr="008A7540">
        <w:rPr>
          <w:noProof/>
          <w:sz w:val="26"/>
          <w:szCs w:val="26"/>
        </w:rPr>
        <w:drawing>
          <wp:inline distT="0" distB="0" distL="0" distR="0" wp14:anchorId="5A3769A7" wp14:editId="3154AB77">
            <wp:extent cx="8652681" cy="2674962"/>
            <wp:effectExtent l="0" t="0" r="15240" b="11430"/>
            <wp:docPr id="1" name="Chart 1">
              <a:extLst xmlns:a="http://schemas.openxmlformats.org/drawingml/2006/main">
                <a:ext uri="{FF2B5EF4-FFF2-40B4-BE49-F238E27FC236}">
                  <a16:creationId xmlns:a16="http://schemas.microsoft.com/office/drawing/2014/main" id="{D23BB56C-1932-7643-88EC-EBF7E51EC4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80BA7D2" w14:textId="41B2F2E5" w:rsidR="008A7540" w:rsidRDefault="008A7540" w:rsidP="00160A20">
      <w:pPr>
        <w:rPr>
          <w:sz w:val="36"/>
          <w:szCs w:val="36"/>
        </w:rPr>
      </w:pPr>
    </w:p>
    <w:p w14:paraId="658F2C18" w14:textId="2EE52A49" w:rsidR="00A34E4C" w:rsidRPr="009A2F98" w:rsidRDefault="009A2F98" w:rsidP="008A7540">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B081C">
        <w:rPr>
          <w:sz w:val="24"/>
          <w:szCs w:val="24"/>
        </w:rPr>
        <w:t xml:space="preserve">                                       </w:t>
      </w:r>
      <w:r>
        <w:rPr>
          <w:sz w:val="24"/>
          <w:szCs w:val="24"/>
        </w:rPr>
        <w:t xml:space="preserve"> </w:t>
      </w:r>
      <w:r w:rsidRPr="000E2CBE">
        <w:rPr>
          <w:color w:val="404040" w:themeColor="text1" w:themeTint="BF"/>
          <w:sz w:val="24"/>
          <w:szCs w:val="24"/>
        </w:rPr>
        <w:t xml:space="preserve"> </w:t>
      </w:r>
    </w:p>
    <w:p w14:paraId="2918578C" w14:textId="77777777" w:rsidR="007B0787" w:rsidRDefault="007B0787" w:rsidP="00160A20">
      <w:pPr>
        <w:spacing w:after="360"/>
        <w:ind w:firstLine="720"/>
        <w:rPr>
          <w:color w:val="404040" w:themeColor="text1" w:themeTint="BF"/>
          <w:sz w:val="44"/>
          <w:szCs w:val="44"/>
        </w:rPr>
      </w:pPr>
    </w:p>
    <w:p w14:paraId="29514E91" w14:textId="335A4510" w:rsidR="00A34E4C" w:rsidRPr="00A34E4C" w:rsidRDefault="00A34E4C" w:rsidP="00160A20">
      <w:pPr>
        <w:spacing w:after="360"/>
        <w:ind w:firstLine="720"/>
        <w:rPr>
          <w:sz w:val="36"/>
          <w:szCs w:val="36"/>
        </w:rPr>
      </w:pPr>
      <w:r w:rsidRPr="00A34E4C">
        <w:rPr>
          <w:color w:val="404040" w:themeColor="text1" w:themeTint="BF"/>
          <w:sz w:val="44"/>
          <w:szCs w:val="44"/>
        </w:rPr>
        <w:lastRenderedPageBreak/>
        <w:t>Carbon Reduction Projects and Assurance</w:t>
      </w:r>
    </w:p>
    <w:p w14:paraId="1B76526C" w14:textId="77777777" w:rsidR="00160A20" w:rsidRDefault="00A34E4C" w:rsidP="00A34E4C">
      <w:pPr>
        <w:ind w:left="720"/>
        <w:rPr>
          <w:color w:val="404040" w:themeColor="text1" w:themeTint="BF"/>
          <w:sz w:val="26"/>
          <w:szCs w:val="26"/>
        </w:rPr>
      </w:pPr>
      <w:r w:rsidRPr="00A34E4C">
        <w:rPr>
          <w:color w:val="404040" w:themeColor="text1" w:themeTint="BF"/>
          <w:sz w:val="26"/>
          <w:szCs w:val="26"/>
        </w:rPr>
        <w:t>The following environmental management measures and projects have been completed or</w:t>
      </w:r>
      <w:r>
        <w:rPr>
          <w:color w:val="404040" w:themeColor="text1" w:themeTint="BF"/>
          <w:sz w:val="26"/>
          <w:szCs w:val="26"/>
        </w:rPr>
        <w:t xml:space="preserve"> </w:t>
      </w:r>
      <w:r w:rsidRPr="00A34E4C">
        <w:rPr>
          <w:color w:val="404040" w:themeColor="text1" w:themeTint="BF"/>
          <w:sz w:val="26"/>
          <w:szCs w:val="26"/>
        </w:rPr>
        <w:t xml:space="preserve">implemented since the </w:t>
      </w:r>
    </w:p>
    <w:p w14:paraId="53DCCC2B" w14:textId="247E46FE" w:rsidR="00A34E4C" w:rsidRPr="00A34E4C" w:rsidRDefault="00A34E4C" w:rsidP="00A34E4C">
      <w:pPr>
        <w:ind w:left="720"/>
        <w:rPr>
          <w:color w:val="404040" w:themeColor="text1" w:themeTint="BF"/>
          <w:sz w:val="26"/>
          <w:szCs w:val="26"/>
        </w:rPr>
      </w:pPr>
      <w:r w:rsidRPr="00A34E4C">
        <w:rPr>
          <w:color w:val="404040" w:themeColor="text1" w:themeTint="BF"/>
          <w:sz w:val="26"/>
          <w:szCs w:val="26"/>
        </w:rPr>
        <w:t xml:space="preserve">FY 2019-20 baseline: </w:t>
      </w:r>
    </w:p>
    <w:p w14:paraId="5891631D" w14:textId="77777777" w:rsidR="00A34E4C" w:rsidRPr="00A34E4C" w:rsidRDefault="00A34E4C" w:rsidP="00A34E4C">
      <w:pPr>
        <w:numPr>
          <w:ilvl w:val="1"/>
          <w:numId w:val="2"/>
        </w:numPr>
        <w:rPr>
          <w:color w:val="404040" w:themeColor="text1" w:themeTint="BF"/>
          <w:sz w:val="26"/>
          <w:szCs w:val="26"/>
        </w:rPr>
      </w:pPr>
      <w:r w:rsidRPr="00A34E4C">
        <w:rPr>
          <w:color w:val="404040" w:themeColor="text1" w:themeTint="BF"/>
          <w:sz w:val="26"/>
          <w:szCs w:val="26"/>
        </w:rPr>
        <w:t>Committed to become to ISO 14001 by December 2021 to manage and provide assurances with regards environmental impacts; and</w:t>
      </w:r>
    </w:p>
    <w:p w14:paraId="5C94330A" w14:textId="2719279B" w:rsidR="00A34E4C" w:rsidRPr="00A34E4C" w:rsidRDefault="00A34E4C" w:rsidP="00A34E4C">
      <w:pPr>
        <w:numPr>
          <w:ilvl w:val="1"/>
          <w:numId w:val="2"/>
        </w:numPr>
        <w:spacing w:after="240"/>
        <w:ind w:left="1434" w:hanging="357"/>
        <w:rPr>
          <w:color w:val="404040" w:themeColor="text1" w:themeTint="BF"/>
          <w:sz w:val="26"/>
          <w:szCs w:val="26"/>
        </w:rPr>
      </w:pPr>
      <w:r w:rsidRPr="00A34E4C">
        <w:rPr>
          <w:color w:val="404040" w:themeColor="text1" w:themeTint="BF"/>
          <w:sz w:val="26"/>
          <w:szCs w:val="26"/>
        </w:rPr>
        <w:t>Produced a comprehensive carbon reduction plan, including detailed baseline analysis for emissions scopes 1, 2 &amp; 3, which exceeds the requirements of PPN 06/21, of which this plan is summary</w:t>
      </w:r>
      <w:r>
        <w:rPr>
          <w:color w:val="404040" w:themeColor="text1" w:themeTint="BF"/>
          <w:sz w:val="26"/>
          <w:szCs w:val="26"/>
        </w:rPr>
        <w:t>.</w:t>
      </w:r>
    </w:p>
    <w:p w14:paraId="3C76E8DD" w14:textId="227CDEA6" w:rsidR="00A34E4C" w:rsidRPr="00A34E4C" w:rsidRDefault="00A34E4C" w:rsidP="00A34E4C">
      <w:pPr>
        <w:ind w:firstLine="720"/>
        <w:rPr>
          <w:color w:val="404040" w:themeColor="text1" w:themeTint="BF"/>
          <w:sz w:val="26"/>
          <w:szCs w:val="26"/>
        </w:rPr>
      </w:pPr>
      <w:r w:rsidRPr="00A34E4C">
        <w:rPr>
          <w:color w:val="404040" w:themeColor="text1" w:themeTint="BF"/>
          <w:sz w:val="26"/>
          <w:szCs w:val="26"/>
        </w:rPr>
        <w:t xml:space="preserve">Our plan includes the </w:t>
      </w:r>
      <w:r w:rsidR="000E2CBE">
        <w:rPr>
          <w:color w:val="404040" w:themeColor="text1" w:themeTint="BF"/>
          <w:sz w:val="26"/>
          <w:szCs w:val="26"/>
        </w:rPr>
        <w:t xml:space="preserve">following </w:t>
      </w:r>
      <w:r w:rsidRPr="00A34E4C">
        <w:rPr>
          <w:color w:val="404040" w:themeColor="text1" w:themeTint="BF"/>
          <w:sz w:val="26"/>
          <w:szCs w:val="26"/>
        </w:rPr>
        <w:t>implementation of carbon reduction measures:</w:t>
      </w:r>
    </w:p>
    <w:p w14:paraId="38D04525" w14:textId="69C0FF18" w:rsidR="00A34E4C" w:rsidRPr="00A34E4C" w:rsidRDefault="009D1567" w:rsidP="00A34E4C">
      <w:pPr>
        <w:numPr>
          <w:ilvl w:val="1"/>
          <w:numId w:val="3"/>
        </w:numPr>
        <w:rPr>
          <w:color w:val="404040" w:themeColor="text1" w:themeTint="BF"/>
          <w:sz w:val="26"/>
          <w:szCs w:val="26"/>
        </w:rPr>
      </w:pPr>
      <w:r>
        <w:rPr>
          <w:color w:val="404040" w:themeColor="text1" w:themeTint="BF"/>
          <w:sz w:val="26"/>
          <w:szCs w:val="26"/>
        </w:rPr>
        <w:t>Becoming more efficient</w:t>
      </w:r>
      <w:r w:rsidR="00A34E4C">
        <w:rPr>
          <w:color w:val="404040" w:themeColor="text1" w:themeTint="BF"/>
          <w:sz w:val="26"/>
          <w:szCs w:val="26"/>
        </w:rPr>
        <w:t xml:space="preserve"> by </w:t>
      </w:r>
      <w:r w:rsidR="00776DA8">
        <w:rPr>
          <w:color w:val="404040" w:themeColor="text1" w:themeTint="BF"/>
          <w:sz w:val="26"/>
          <w:szCs w:val="26"/>
        </w:rPr>
        <w:t xml:space="preserve">service </w:t>
      </w:r>
      <w:proofErr w:type="gramStart"/>
      <w:r w:rsidR="00A34E4C">
        <w:rPr>
          <w:color w:val="404040" w:themeColor="text1" w:themeTint="BF"/>
          <w:sz w:val="26"/>
          <w:szCs w:val="26"/>
        </w:rPr>
        <w:t>design</w:t>
      </w:r>
      <w:r>
        <w:rPr>
          <w:color w:val="404040" w:themeColor="text1" w:themeTint="BF"/>
          <w:sz w:val="26"/>
          <w:szCs w:val="26"/>
        </w:rPr>
        <w:t>;</w:t>
      </w:r>
      <w:proofErr w:type="gramEnd"/>
    </w:p>
    <w:p w14:paraId="70277A07" w14:textId="7224B6D0" w:rsidR="00A34E4C" w:rsidRDefault="00A34E4C" w:rsidP="00A34E4C">
      <w:pPr>
        <w:numPr>
          <w:ilvl w:val="1"/>
          <w:numId w:val="3"/>
        </w:numPr>
        <w:rPr>
          <w:color w:val="404040" w:themeColor="text1" w:themeTint="BF"/>
          <w:sz w:val="26"/>
          <w:szCs w:val="26"/>
        </w:rPr>
      </w:pPr>
      <w:r>
        <w:rPr>
          <w:color w:val="404040" w:themeColor="text1" w:themeTint="BF"/>
          <w:sz w:val="26"/>
          <w:szCs w:val="26"/>
        </w:rPr>
        <w:t xml:space="preserve">Reducing supply chain emissions though innovative </w:t>
      </w:r>
      <w:r w:rsidR="009D1567">
        <w:rPr>
          <w:color w:val="404040" w:themeColor="text1" w:themeTint="BF"/>
          <w:sz w:val="26"/>
          <w:szCs w:val="26"/>
        </w:rPr>
        <w:t xml:space="preserve">supplier support programmes and </w:t>
      </w:r>
      <w:r>
        <w:rPr>
          <w:color w:val="404040" w:themeColor="text1" w:themeTint="BF"/>
          <w:sz w:val="26"/>
          <w:szCs w:val="26"/>
        </w:rPr>
        <w:t xml:space="preserve">award </w:t>
      </w:r>
      <w:proofErr w:type="gramStart"/>
      <w:r>
        <w:rPr>
          <w:color w:val="404040" w:themeColor="text1" w:themeTint="BF"/>
          <w:sz w:val="26"/>
          <w:szCs w:val="26"/>
        </w:rPr>
        <w:t>criteri</w:t>
      </w:r>
      <w:r w:rsidR="009D1567">
        <w:rPr>
          <w:color w:val="404040" w:themeColor="text1" w:themeTint="BF"/>
          <w:sz w:val="26"/>
          <w:szCs w:val="26"/>
        </w:rPr>
        <w:t>a;</w:t>
      </w:r>
      <w:proofErr w:type="gramEnd"/>
    </w:p>
    <w:p w14:paraId="62DD361E" w14:textId="6F23B8F4" w:rsidR="00546344" w:rsidRPr="00546344" w:rsidRDefault="00A34E4C" w:rsidP="00546344">
      <w:pPr>
        <w:numPr>
          <w:ilvl w:val="1"/>
          <w:numId w:val="3"/>
        </w:numPr>
        <w:rPr>
          <w:color w:val="404040" w:themeColor="text1" w:themeTint="BF"/>
          <w:sz w:val="26"/>
          <w:szCs w:val="26"/>
        </w:rPr>
      </w:pPr>
      <w:r w:rsidRPr="00A34E4C">
        <w:rPr>
          <w:color w:val="404040" w:themeColor="text1" w:themeTint="BF"/>
          <w:sz w:val="26"/>
          <w:szCs w:val="26"/>
        </w:rPr>
        <w:t>Reduc</w:t>
      </w:r>
      <w:r w:rsidR="00546344">
        <w:rPr>
          <w:color w:val="404040" w:themeColor="text1" w:themeTint="BF"/>
          <w:sz w:val="26"/>
          <w:szCs w:val="26"/>
        </w:rPr>
        <w:t>ing</w:t>
      </w:r>
      <w:r w:rsidRPr="00A34E4C">
        <w:rPr>
          <w:color w:val="404040" w:themeColor="text1" w:themeTint="BF"/>
          <w:sz w:val="26"/>
          <w:szCs w:val="26"/>
        </w:rPr>
        <w:t xml:space="preserve"> resource consumption (including fuel, </w:t>
      </w:r>
      <w:r w:rsidR="00C43B35">
        <w:rPr>
          <w:color w:val="404040" w:themeColor="text1" w:themeTint="BF"/>
          <w:sz w:val="26"/>
          <w:szCs w:val="26"/>
        </w:rPr>
        <w:t xml:space="preserve">water, </w:t>
      </w:r>
      <w:r w:rsidRPr="00A34E4C">
        <w:rPr>
          <w:color w:val="404040" w:themeColor="text1" w:themeTint="BF"/>
          <w:sz w:val="26"/>
          <w:szCs w:val="26"/>
        </w:rPr>
        <w:t>electricity, waste, paper, etc.</w:t>
      </w:r>
      <w:proofErr w:type="gramStart"/>
      <w:r w:rsidRPr="00A34E4C">
        <w:rPr>
          <w:color w:val="404040" w:themeColor="text1" w:themeTint="BF"/>
          <w:sz w:val="26"/>
          <w:szCs w:val="26"/>
        </w:rPr>
        <w:t>);</w:t>
      </w:r>
      <w:proofErr w:type="gramEnd"/>
      <w:r w:rsidRPr="00A34E4C">
        <w:rPr>
          <w:color w:val="404040" w:themeColor="text1" w:themeTint="BF"/>
          <w:sz w:val="26"/>
          <w:szCs w:val="26"/>
        </w:rPr>
        <w:t xml:space="preserve"> </w:t>
      </w:r>
    </w:p>
    <w:p w14:paraId="40ACF171" w14:textId="77777777" w:rsidR="00A34E4C" w:rsidRPr="00A34E4C" w:rsidRDefault="00164EFB" w:rsidP="00164EFB">
      <w:pPr>
        <w:numPr>
          <w:ilvl w:val="1"/>
          <w:numId w:val="3"/>
        </w:numPr>
        <w:rPr>
          <w:color w:val="404040" w:themeColor="text1" w:themeTint="BF"/>
          <w:sz w:val="26"/>
          <w:szCs w:val="26"/>
        </w:rPr>
      </w:pPr>
      <w:r>
        <w:rPr>
          <w:color w:val="404040" w:themeColor="text1" w:themeTint="BF"/>
          <w:sz w:val="26"/>
          <w:szCs w:val="26"/>
        </w:rPr>
        <w:t>Reducing the need for transport and t</w:t>
      </w:r>
      <w:r w:rsidR="00A34E4C" w:rsidRPr="00A34E4C">
        <w:rPr>
          <w:color w:val="404040" w:themeColor="text1" w:themeTint="BF"/>
          <w:sz w:val="26"/>
          <w:szCs w:val="26"/>
        </w:rPr>
        <w:t>ransition</w:t>
      </w:r>
      <w:r>
        <w:rPr>
          <w:color w:val="404040" w:themeColor="text1" w:themeTint="BF"/>
          <w:sz w:val="26"/>
          <w:szCs w:val="26"/>
        </w:rPr>
        <w:t>ing</w:t>
      </w:r>
      <w:r w:rsidR="00A34E4C" w:rsidRPr="00A34E4C">
        <w:rPr>
          <w:color w:val="404040" w:themeColor="text1" w:themeTint="BF"/>
          <w:sz w:val="26"/>
          <w:szCs w:val="26"/>
        </w:rPr>
        <w:t xml:space="preserve"> towards hybrid/electrified company </w:t>
      </w:r>
      <w:proofErr w:type="gramStart"/>
      <w:r w:rsidR="00A34E4C" w:rsidRPr="00A34E4C">
        <w:rPr>
          <w:color w:val="404040" w:themeColor="text1" w:themeTint="BF"/>
          <w:sz w:val="26"/>
          <w:szCs w:val="26"/>
        </w:rPr>
        <w:t>fleet;</w:t>
      </w:r>
      <w:proofErr w:type="gramEnd"/>
    </w:p>
    <w:p w14:paraId="6D03A3CC" w14:textId="35578898" w:rsidR="00A34E4C" w:rsidRPr="00A34E4C" w:rsidRDefault="00A34E4C" w:rsidP="000613D5">
      <w:pPr>
        <w:numPr>
          <w:ilvl w:val="1"/>
          <w:numId w:val="3"/>
        </w:numPr>
        <w:rPr>
          <w:color w:val="404040" w:themeColor="text1" w:themeTint="BF"/>
          <w:sz w:val="26"/>
          <w:szCs w:val="26"/>
        </w:rPr>
      </w:pPr>
      <w:r w:rsidRPr="00A34E4C">
        <w:rPr>
          <w:color w:val="404040" w:themeColor="text1" w:themeTint="BF"/>
          <w:sz w:val="26"/>
          <w:szCs w:val="26"/>
        </w:rPr>
        <w:t>Increasing space use efficiency</w:t>
      </w:r>
      <w:r w:rsidR="00B40B1C">
        <w:rPr>
          <w:color w:val="404040" w:themeColor="text1" w:themeTint="BF"/>
          <w:sz w:val="26"/>
          <w:szCs w:val="26"/>
        </w:rPr>
        <w:t>, b</w:t>
      </w:r>
      <w:r w:rsidRPr="00A34E4C">
        <w:rPr>
          <w:color w:val="404040" w:themeColor="text1" w:themeTint="BF"/>
          <w:sz w:val="26"/>
          <w:szCs w:val="26"/>
        </w:rPr>
        <w:t xml:space="preserve">uilding </w:t>
      </w:r>
      <w:r w:rsidR="00B40B1C">
        <w:rPr>
          <w:color w:val="404040" w:themeColor="text1" w:themeTint="BF"/>
          <w:sz w:val="26"/>
          <w:szCs w:val="26"/>
        </w:rPr>
        <w:t>insulation</w:t>
      </w:r>
      <w:r w:rsidRPr="00A34E4C">
        <w:rPr>
          <w:color w:val="404040" w:themeColor="text1" w:themeTint="BF"/>
          <w:sz w:val="26"/>
          <w:szCs w:val="26"/>
        </w:rPr>
        <w:t xml:space="preserve"> </w:t>
      </w:r>
      <w:r w:rsidR="000613D5">
        <w:rPr>
          <w:color w:val="404040" w:themeColor="text1" w:themeTint="BF"/>
          <w:sz w:val="26"/>
          <w:szCs w:val="26"/>
        </w:rPr>
        <w:t xml:space="preserve">and leasing energy efficient </w:t>
      </w:r>
      <w:proofErr w:type="gramStart"/>
      <w:r w:rsidR="000613D5">
        <w:rPr>
          <w:color w:val="404040" w:themeColor="text1" w:themeTint="BF"/>
          <w:sz w:val="26"/>
          <w:szCs w:val="26"/>
        </w:rPr>
        <w:t>property</w:t>
      </w:r>
      <w:r w:rsidRPr="00A34E4C">
        <w:rPr>
          <w:color w:val="404040" w:themeColor="text1" w:themeTint="BF"/>
          <w:sz w:val="26"/>
          <w:szCs w:val="26"/>
        </w:rPr>
        <w:t>;</w:t>
      </w:r>
      <w:proofErr w:type="gramEnd"/>
    </w:p>
    <w:p w14:paraId="28F974A2" w14:textId="4A4564CB" w:rsidR="00A34E4C" w:rsidRPr="00A34E4C" w:rsidRDefault="00A34E4C" w:rsidP="00185F9C">
      <w:pPr>
        <w:numPr>
          <w:ilvl w:val="1"/>
          <w:numId w:val="3"/>
        </w:numPr>
        <w:rPr>
          <w:color w:val="404040" w:themeColor="text1" w:themeTint="BF"/>
          <w:sz w:val="26"/>
          <w:szCs w:val="26"/>
        </w:rPr>
      </w:pPr>
      <w:r w:rsidRPr="00A34E4C">
        <w:rPr>
          <w:color w:val="404040" w:themeColor="text1" w:themeTint="BF"/>
          <w:sz w:val="26"/>
          <w:szCs w:val="26"/>
        </w:rPr>
        <w:t>Transition</w:t>
      </w:r>
      <w:r w:rsidR="009D1567">
        <w:rPr>
          <w:color w:val="404040" w:themeColor="text1" w:themeTint="BF"/>
          <w:sz w:val="26"/>
          <w:szCs w:val="26"/>
        </w:rPr>
        <w:t>ing</w:t>
      </w:r>
      <w:r w:rsidRPr="00A34E4C">
        <w:rPr>
          <w:color w:val="404040" w:themeColor="text1" w:themeTint="BF"/>
          <w:sz w:val="26"/>
          <w:szCs w:val="26"/>
        </w:rPr>
        <w:t xml:space="preserve"> from gas to renewable electric heating systems</w:t>
      </w:r>
      <w:r w:rsidR="00185F9C">
        <w:rPr>
          <w:color w:val="404040" w:themeColor="text1" w:themeTint="BF"/>
          <w:sz w:val="26"/>
          <w:szCs w:val="26"/>
        </w:rPr>
        <w:t xml:space="preserve">, </w:t>
      </w:r>
      <w:r w:rsidR="00A72FC8">
        <w:rPr>
          <w:color w:val="404040" w:themeColor="text1" w:themeTint="BF"/>
          <w:sz w:val="26"/>
          <w:szCs w:val="26"/>
        </w:rPr>
        <w:t>LED lighting</w:t>
      </w:r>
      <w:r w:rsidR="00185F9C">
        <w:rPr>
          <w:color w:val="404040" w:themeColor="text1" w:themeTint="BF"/>
          <w:sz w:val="26"/>
          <w:szCs w:val="26"/>
        </w:rPr>
        <w:t xml:space="preserve"> and </w:t>
      </w:r>
      <w:r w:rsidRPr="00A34E4C">
        <w:rPr>
          <w:color w:val="404040" w:themeColor="text1" w:themeTint="BF"/>
          <w:sz w:val="26"/>
          <w:szCs w:val="26"/>
        </w:rPr>
        <w:t xml:space="preserve">solar PV </w:t>
      </w:r>
      <w:proofErr w:type="gramStart"/>
      <w:r w:rsidRPr="00A34E4C">
        <w:rPr>
          <w:color w:val="404040" w:themeColor="text1" w:themeTint="BF"/>
          <w:sz w:val="26"/>
          <w:szCs w:val="26"/>
        </w:rPr>
        <w:t>systems;</w:t>
      </w:r>
      <w:proofErr w:type="gramEnd"/>
    </w:p>
    <w:p w14:paraId="735195B7" w14:textId="65775D41" w:rsidR="00A34E4C" w:rsidRDefault="00A34E4C" w:rsidP="00CF1C04">
      <w:pPr>
        <w:numPr>
          <w:ilvl w:val="1"/>
          <w:numId w:val="3"/>
        </w:numPr>
        <w:rPr>
          <w:color w:val="404040" w:themeColor="text1" w:themeTint="BF"/>
          <w:sz w:val="26"/>
          <w:szCs w:val="26"/>
        </w:rPr>
      </w:pPr>
      <w:r w:rsidRPr="00A34E4C">
        <w:rPr>
          <w:color w:val="404040" w:themeColor="text1" w:themeTint="BF"/>
          <w:sz w:val="26"/>
          <w:szCs w:val="26"/>
        </w:rPr>
        <w:t>Ensur</w:t>
      </w:r>
      <w:r w:rsidR="009D1567" w:rsidRPr="00CF1C04">
        <w:rPr>
          <w:color w:val="404040" w:themeColor="text1" w:themeTint="BF"/>
          <w:sz w:val="26"/>
          <w:szCs w:val="26"/>
        </w:rPr>
        <w:t>ing</w:t>
      </w:r>
      <w:r w:rsidRPr="00A34E4C">
        <w:rPr>
          <w:color w:val="404040" w:themeColor="text1" w:themeTint="BF"/>
          <w:sz w:val="26"/>
          <w:szCs w:val="26"/>
        </w:rPr>
        <w:t xml:space="preserve"> that zero waste goes to </w:t>
      </w:r>
      <w:proofErr w:type="gramStart"/>
      <w:r w:rsidRPr="00A34E4C">
        <w:rPr>
          <w:color w:val="404040" w:themeColor="text1" w:themeTint="BF"/>
          <w:sz w:val="26"/>
          <w:szCs w:val="26"/>
        </w:rPr>
        <w:t>landfil</w:t>
      </w:r>
      <w:r w:rsidR="003F25A8" w:rsidRPr="00CF1C04">
        <w:rPr>
          <w:color w:val="404040" w:themeColor="text1" w:themeTint="BF"/>
          <w:sz w:val="26"/>
          <w:szCs w:val="26"/>
        </w:rPr>
        <w:t>l;</w:t>
      </w:r>
      <w:proofErr w:type="gramEnd"/>
    </w:p>
    <w:p w14:paraId="2F41652D" w14:textId="2C11C781" w:rsidR="00CF1C04" w:rsidRPr="00CF1C04" w:rsidRDefault="00CF1C04" w:rsidP="00CF1C04">
      <w:pPr>
        <w:numPr>
          <w:ilvl w:val="1"/>
          <w:numId w:val="3"/>
        </w:numPr>
        <w:rPr>
          <w:color w:val="404040" w:themeColor="text1" w:themeTint="BF"/>
          <w:sz w:val="26"/>
          <w:szCs w:val="26"/>
        </w:rPr>
      </w:pPr>
      <w:r>
        <w:rPr>
          <w:color w:val="404040" w:themeColor="text1" w:themeTint="BF"/>
          <w:sz w:val="26"/>
          <w:szCs w:val="26"/>
        </w:rPr>
        <w:t xml:space="preserve">Promoting the green economy and green job </w:t>
      </w:r>
      <w:proofErr w:type="gramStart"/>
      <w:r>
        <w:rPr>
          <w:color w:val="404040" w:themeColor="text1" w:themeTint="BF"/>
          <w:sz w:val="26"/>
          <w:szCs w:val="26"/>
        </w:rPr>
        <w:t>creation;</w:t>
      </w:r>
      <w:proofErr w:type="gramEnd"/>
    </w:p>
    <w:p w14:paraId="2EF49398" w14:textId="1B2D7FC9" w:rsidR="00A34E4C" w:rsidRPr="00A34E4C" w:rsidRDefault="003F25A8" w:rsidP="00A34E4C">
      <w:pPr>
        <w:numPr>
          <w:ilvl w:val="1"/>
          <w:numId w:val="3"/>
        </w:numPr>
        <w:rPr>
          <w:color w:val="404040" w:themeColor="text1" w:themeTint="BF"/>
          <w:sz w:val="26"/>
          <w:szCs w:val="26"/>
        </w:rPr>
      </w:pPr>
      <w:r>
        <w:rPr>
          <w:color w:val="404040" w:themeColor="text1" w:themeTint="BF"/>
          <w:sz w:val="26"/>
          <w:szCs w:val="26"/>
        </w:rPr>
        <w:t xml:space="preserve">Positively influencing </w:t>
      </w:r>
      <w:r w:rsidR="00D149E9">
        <w:rPr>
          <w:color w:val="404040" w:themeColor="text1" w:themeTint="BF"/>
          <w:sz w:val="26"/>
          <w:szCs w:val="26"/>
        </w:rPr>
        <w:t xml:space="preserve">our colleagues, </w:t>
      </w:r>
      <w:proofErr w:type="gramStart"/>
      <w:r w:rsidR="00D149E9">
        <w:rPr>
          <w:color w:val="404040" w:themeColor="text1" w:themeTint="BF"/>
          <w:sz w:val="26"/>
          <w:szCs w:val="26"/>
        </w:rPr>
        <w:t>participants</w:t>
      </w:r>
      <w:proofErr w:type="gramEnd"/>
      <w:r w:rsidR="00D149E9">
        <w:rPr>
          <w:color w:val="404040" w:themeColor="text1" w:themeTint="BF"/>
          <w:sz w:val="26"/>
          <w:szCs w:val="26"/>
        </w:rPr>
        <w:t xml:space="preserve"> and </w:t>
      </w:r>
      <w:r w:rsidR="00BB1858">
        <w:rPr>
          <w:color w:val="404040" w:themeColor="text1" w:themeTint="BF"/>
          <w:sz w:val="26"/>
          <w:szCs w:val="26"/>
        </w:rPr>
        <w:t>extended networks to reduce emissions</w:t>
      </w:r>
      <w:r w:rsidR="00CF1C04">
        <w:rPr>
          <w:color w:val="404040" w:themeColor="text1" w:themeTint="BF"/>
          <w:sz w:val="26"/>
          <w:szCs w:val="26"/>
        </w:rPr>
        <w:t xml:space="preserve"> and </w:t>
      </w:r>
    </w:p>
    <w:p w14:paraId="6A8E3D14" w14:textId="3C9E1476" w:rsidR="00A34E4C" w:rsidRDefault="00A34E4C" w:rsidP="00A34E4C">
      <w:pPr>
        <w:numPr>
          <w:ilvl w:val="1"/>
          <w:numId w:val="3"/>
        </w:numPr>
        <w:rPr>
          <w:color w:val="404040" w:themeColor="text1" w:themeTint="BF"/>
          <w:sz w:val="26"/>
          <w:szCs w:val="26"/>
        </w:rPr>
      </w:pPr>
      <w:r w:rsidRPr="00A34E4C">
        <w:rPr>
          <w:color w:val="404040" w:themeColor="text1" w:themeTint="BF"/>
          <w:sz w:val="26"/>
          <w:szCs w:val="26"/>
        </w:rPr>
        <w:t>Offsetting residual emissions via verified carbon offset projects</w:t>
      </w:r>
      <w:r w:rsidR="004A00DD">
        <w:rPr>
          <w:color w:val="404040" w:themeColor="text1" w:themeTint="BF"/>
          <w:sz w:val="26"/>
          <w:szCs w:val="26"/>
        </w:rPr>
        <w:t xml:space="preserve"> which also maximise social value</w:t>
      </w:r>
      <w:r w:rsidRPr="00A34E4C">
        <w:rPr>
          <w:color w:val="404040" w:themeColor="text1" w:themeTint="BF"/>
          <w:sz w:val="26"/>
          <w:szCs w:val="26"/>
        </w:rPr>
        <w:t>.</w:t>
      </w:r>
    </w:p>
    <w:p w14:paraId="58227175" w14:textId="1840D0BE" w:rsidR="00A34E4C" w:rsidRDefault="00D24E81" w:rsidP="00565301">
      <w:pPr>
        <w:tabs>
          <w:tab w:val="left" w:pos="2257"/>
          <w:tab w:val="left" w:pos="11456"/>
        </w:tabs>
        <w:rPr>
          <w:color w:val="404040" w:themeColor="text1" w:themeTint="BF"/>
          <w:sz w:val="26"/>
          <w:szCs w:val="26"/>
        </w:rPr>
      </w:pPr>
      <w:r>
        <w:rPr>
          <w:color w:val="404040" w:themeColor="text1" w:themeTint="BF"/>
          <w:sz w:val="26"/>
          <w:szCs w:val="26"/>
        </w:rPr>
        <w:tab/>
      </w:r>
      <w:r w:rsidR="00565301">
        <w:rPr>
          <w:color w:val="404040" w:themeColor="text1" w:themeTint="BF"/>
          <w:sz w:val="26"/>
          <w:szCs w:val="26"/>
        </w:rPr>
        <w:tab/>
      </w:r>
    </w:p>
    <w:p w14:paraId="3FAEC177" w14:textId="4890D475" w:rsidR="00A34E4C" w:rsidRDefault="00A34E4C" w:rsidP="009D1567">
      <w:pPr>
        <w:rPr>
          <w:color w:val="404040" w:themeColor="text1" w:themeTint="BF"/>
          <w:sz w:val="26"/>
          <w:szCs w:val="26"/>
        </w:rPr>
      </w:pPr>
    </w:p>
    <w:p w14:paraId="081AF21E" w14:textId="44DBA029" w:rsidR="00A34E4C" w:rsidRPr="00A34E4C" w:rsidRDefault="00BD5AB9" w:rsidP="009D1567">
      <w:pPr>
        <w:spacing w:after="360"/>
        <w:ind w:firstLine="720"/>
        <w:rPr>
          <w:color w:val="404040" w:themeColor="text1" w:themeTint="BF"/>
          <w:sz w:val="44"/>
          <w:szCs w:val="44"/>
        </w:rPr>
      </w:pPr>
      <w:r>
        <w:rPr>
          <w:color w:val="404040" w:themeColor="text1" w:themeTint="BF"/>
          <w:sz w:val="44"/>
          <w:szCs w:val="44"/>
        </w:rPr>
        <w:t>P</w:t>
      </w:r>
      <w:r w:rsidR="009D1567" w:rsidRPr="009D1567">
        <w:rPr>
          <w:color w:val="404040" w:themeColor="text1" w:themeTint="BF"/>
          <w:sz w:val="44"/>
          <w:szCs w:val="44"/>
        </w:rPr>
        <w:t>PN 06/21 – Declaration and Sign Off</w:t>
      </w:r>
    </w:p>
    <w:p w14:paraId="40688A78" w14:textId="77777777" w:rsidR="009D1567" w:rsidRPr="009D1567" w:rsidRDefault="009D1567" w:rsidP="009D1567">
      <w:pPr>
        <w:ind w:left="720"/>
        <w:rPr>
          <w:color w:val="404040" w:themeColor="text1" w:themeTint="BF"/>
          <w:sz w:val="26"/>
          <w:szCs w:val="26"/>
        </w:rPr>
      </w:pPr>
      <w:r w:rsidRPr="009D1567">
        <w:rPr>
          <w:color w:val="404040" w:themeColor="text1" w:themeTint="BF"/>
          <w:sz w:val="26"/>
          <w:szCs w:val="26"/>
        </w:rPr>
        <w:t>This Carbon Reduction Plan has been completed in accordance with PPN 06/21 and associated guidance and reporting standard for Carbon Reduction Plans.</w:t>
      </w:r>
    </w:p>
    <w:p w14:paraId="0594E89A" w14:textId="77777777" w:rsidR="009D1567" w:rsidRPr="009D1567" w:rsidRDefault="009D1567" w:rsidP="009D1567">
      <w:pPr>
        <w:ind w:left="720"/>
        <w:rPr>
          <w:color w:val="404040" w:themeColor="text1" w:themeTint="BF"/>
          <w:sz w:val="26"/>
          <w:szCs w:val="26"/>
        </w:rPr>
      </w:pPr>
      <w:r w:rsidRPr="009D1567">
        <w:rPr>
          <w:color w:val="404040" w:themeColor="text1" w:themeTint="BF"/>
          <w:sz w:val="26"/>
          <w:szCs w:val="26"/>
        </w:rPr>
        <w:t>Emissions have been reported and recorded in accordance with the published reporting standard for Carbon Reduction Plans and the GHG Reporting Protocol corporate standard and uses the appropriate Government emission conversion factors for greenhouse gas company reporting.</w:t>
      </w:r>
    </w:p>
    <w:p w14:paraId="3CAC089A" w14:textId="77777777" w:rsidR="009D1567" w:rsidRPr="009D1567" w:rsidRDefault="009D1567" w:rsidP="009D1567">
      <w:pPr>
        <w:ind w:left="720"/>
        <w:rPr>
          <w:color w:val="404040" w:themeColor="text1" w:themeTint="BF"/>
          <w:sz w:val="26"/>
          <w:szCs w:val="26"/>
        </w:rPr>
      </w:pPr>
      <w:r w:rsidRPr="009D1567">
        <w:rPr>
          <w:color w:val="404040" w:themeColor="text1" w:themeTint="BF"/>
          <w:sz w:val="26"/>
          <w:szCs w:val="26"/>
        </w:rPr>
        <w:t>Scope 1 and Scope 2 emissions have been reported in accordance with SECR requirements, and the required subset of Scope 3 emissions have been reported in accordance with the published reporting standard for Carbon Reduction Plans and the Corporate Value Chain (Scope 3) Standard.</w:t>
      </w:r>
    </w:p>
    <w:p w14:paraId="2ED2DFAD" w14:textId="77777777" w:rsidR="009D1567" w:rsidRPr="009D1567" w:rsidRDefault="009D1567" w:rsidP="009D1567">
      <w:pPr>
        <w:ind w:firstLine="720"/>
        <w:rPr>
          <w:color w:val="404040" w:themeColor="text1" w:themeTint="BF"/>
          <w:sz w:val="26"/>
          <w:szCs w:val="26"/>
        </w:rPr>
      </w:pPr>
      <w:r w:rsidRPr="009D1567">
        <w:rPr>
          <w:color w:val="404040" w:themeColor="text1" w:themeTint="BF"/>
          <w:sz w:val="26"/>
          <w:szCs w:val="26"/>
        </w:rPr>
        <w:t>This Carbon Reduction Plan has been reviewed and signed off by the board of directors (or equivalent management body).</w:t>
      </w:r>
    </w:p>
    <w:p w14:paraId="06176FA3" w14:textId="51469DEA" w:rsidR="009D1567" w:rsidRDefault="0027363A" w:rsidP="009D1567">
      <w:pPr>
        <w:ind w:firstLine="720"/>
        <w:rPr>
          <w:b/>
          <w:bCs/>
          <w:color w:val="404040" w:themeColor="text1" w:themeTint="BF"/>
          <w:sz w:val="26"/>
          <w:szCs w:val="26"/>
        </w:rPr>
      </w:pPr>
      <w:r>
        <w:rPr>
          <w:rFonts w:ascii="Arial" w:hAnsi="Arial" w:cs="Arial"/>
          <w:noProof/>
        </w:rPr>
        <w:drawing>
          <wp:anchor distT="0" distB="0" distL="114300" distR="114300" simplePos="0" relativeHeight="251659264" behindDoc="1" locked="0" layoutInCell="1" allowOverlap="1" wp14:anchorId="3897CB58" wp14:editId="0934F978">
            <wp:simplePos x="0" y="0"/>
            <wp:positionH relativeFrom="column">
              <wp:posOffset>1181100</wp:posOffset>
            </wp:positionH>
            <wp:positionV relativeFrom="paragraph">
              <wp:posOffset>187325</wp:posOffset>
            </wp:positionV>
            <wp:extent cx="1478280" cy="642620"/>
            <wp:effectExtent l="0" t="0" r="7620" b="5080"/>
            <wp:wrapTight wrapText="bothSides">
              <wp:wrapPolygon edited="0">
                <wp:start x="0" y="0"/>
                <wp:lineTo x="0" y="21130"/>
                <wp:lineTo x="21433" y="21130"/>
                <wp:lineTo x="21433" y="0"/>
                <wp:lineTo x="0" y="0"/>
              </wp:wrapPolygon>
            </wp:wrapTight>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8280" cy="642620"/>
                    </a:xfrm>
                    <a:prstGeom prst="rect">
                      <a:avLst/>
                    </a:prstGeom>
                  </pic:spPr>
                </pic:pic>
              </a:graphicData>
            </a:graphic>
          </wp:anchor>
        </w:drawing>
      </w:r>
    </w:p>
    <w:p w14:paraId="6ADBC09E" w14:textId="5E89386D" w:rsidR="009D1567" w:rsidRPr="00BD5AB9" w:rsidRDefault="009D1567" w:rsidP="009D1567">
      <w:pPr>
        <w:ind w:firstLine="720"/>
        <w:rPr>
          <w:b/>
          <w:bCs/>
          <w:color w:val="404040" w:themeColor="text1" w:themeTint="BF"/>
          <w:sz w:val="26"/>
          <w:szCs w:val="26"/>
        </w:rPr>
      </w:pPr>
      <w:r w:rsidRPr="009D1567">
        <w:rPr>
          <w:b/>
          <w:bCs/>
          <w:color w:val="404040" w:themeColor="text1" w:themeTint="BF"/>
          <w:sz w:val="26"/>
          <w:szCs w:val="26"/>
        </w:rPr>
        <w:t xml:space="preserve">Signed: </w:t>
      </w:r>
    </w:p>
    <w:p w14:paraId="168E381A" w14:textId="77777777" w:rsidR="009D1567" w:rsidRPr="009D1567" w:rsidRDefault="009D1567" w:rsidP="009D1567">
      <w:pPr>
        <w:ind w:firstLine="720"/>
        <w:rPr>
          <w:color w:val="404040" w:themeColor="text1" w:themeTint="BF"/>
          <w:sz w:val="26"/>
          <w:szCs w:val="26"/>
        </w:rPr>
      </w:pPr>
    </w:p>
    <w:p w14:paraId="635800F8" w14:textId="3359DEB9" w:rsidR="009D1567" w:rsidRPr="00BD5AB9" w:rsidRDefault="009D1567" w:rsidP="009D1567">
      <w:pPr>
        <w:ind w:firstLine="720"/>
        <w:rPr>
          <w:b/>
          <w:bCs/>
          <w:color w:val="404040" w:themeColor="text1" w:themeTint="BF"/>
          <w:sz w:val="26"/>
          <w:szCs w:val="26"/>
        </w:rPr>
      </w:pPr>
      <w:r w:rsidRPr="00BD5AB9">
        <w:rPr>
          <w:b/>
          <w:bCs/>
          <w:color w:val="404040" w:themeColor="text1" w:themeTint="BF"/>
          <w:sz w:val="26"/>
          <w:szCs w:val="26"/>
        </w:rPr>
        <w:t>Name:</w:t>
      </w:r>
      <w:r w:rsidR="0004206C">
        <w:rPr>
          <w:b/>
          <w:bCs/>
          <w:color w:val="404040" w:themeColor="text1" w:themeTint="BF"/>
          <w:sz w:val="26"/>
          <w:szCs w:val="26"/>
        </w:rPr>
        <w:tab/>
      </w:r>
      <w:r w:rsidR="0004206C">
        <w:rPr>
          <w:b/>
          <w:bCs/>
          <w:color w:val="404040" w:themeColor="text1" w:themeTint="BF"/>
          <w:sz w:val="26"/>
          <w:szCs w:val="26"/>
        </w:rPr>
        <w:tab/>
        <w:t>Juliet Mountain</w:t>
      </w:r>
    </w:p>
    <w:p w14:paraId="752E3878" w14:textId="1D24FE90" w:rsidR="009D1567" w:rsidRPr="00BD5AB9" w:rsidRDefault="009D1567" w:rsidP="00414738">
      <w:pPr>
        <w:ind w:firstLine="720"/>
        <w:rPr>
          <w:b/>
          <w:bCs/>
          <w:color w:val="404040" w:themeColor="text1" w:themeTint="BF"/>
          <w:sz w:val="26"/>
          <w:szCs w:val="26"/>
        </w:rPr>
      </w:pPr>
      <w:r w:rsidRPr="00BD5AB9">
        <w:rPr>
          <w:b/>
          <w:bCs/>
          <w:color w:val="404040" w:themeColor="text1" w:themeTint="BF"/>
          <w:sz w:val="26"/>
          <w:szCs w:val="26"/>
        </w:rPr>
        <w:t>Position:</w:t>
      </w:r>
      <w:r w:rsidR="007921D0">
        <w:rPr>
          <w:b/>
          <w:bCs/>
          <w:color w:val="404040" w:themeColor="text1" w:themeTint="BF"/>
          <w:sz w:val="26"/>
          <w:szCs w:val="26"/>
        </w:rPr>
        <w:t xml:space="preserve"> </w:t>
      </w:r>
      <w:r w:rsidR="0004206C">
        <w:rPr>
          <w:b/>
          <w:bCs/>
          <w:color w:val="404040" w:themeColor="text1" w:themeTint="BF"/>
          <w:sz w:val="26"/>
          <w:szCs w:val="26"/>
        </w:rPr>
        <w:tab/>
        <w:t>Director of Shaw Trust Foundation</w:t>
      </w:r>
      <w:r w:rsidR="00414738">
        <w:rPr>
          <w:b/>
          <w:bCs/>
          <w:color w:val="404040" w:themeColor="text1" w:themeTint="BF"/>
          <w:sz w:val="26"/>
          <w:szCs w:val="26"/>
        </w:rPr>
        <w:t xml:space="preserve"> </w:t>
      </w:r>
    </w:p>
    <w:p w14:paraId="4E9982B9" w14:textId="6D80B834" w:rsidR="00A34E4C" w:rsidRPr="001D15FE" w:rsidRDefault="009D1567" w:rsidP="00414738">
      <w:pPr>
        <w:ind w:firstLine="720"/>
        <w:rPr>
          <w:color w:val="404040" w:themeColor="text1" w:themeTint="BF"/>
          <w:sz w:val="26"/>
          <w:szCs w:val="26"/>
        </w:rPr>
      </w:pPr>
      <w:r w:rsidRPr="009D1567">
        <w:rPr>
          <w:b/>
          <w:bCs/>
          <w:color w:val="404040" w:themeColor="text1" w:themeTint="BF"/>
          <w:sz w:val="26"/>
          <w:szCs w:val="26"/>
        </w:rPr>
        <w:t xml:space="preserve">Date: </w:t>
      </w:r>
      <w:r w:rsidR="00414738">
        <w:rPr>
          <w:b/>
          <w:bCs/>
          <w:color w:val="404040" w:themeColor="text1" w:themeTint="BF"/>
          <w:sz w:val="26"/>
          <w:szCs w:val="26"/>
        </w:rPr>
        <w:tab/>
      </w:r>
      <w:r w:rsidR="00414738">
        <w:rPr>
          <w:b/>
          <w:bCs/>
          <w:color w:val="404040" w:themeColor="text1" w:themeTint="BF"/>
          <w:sz w:val="26"/>
          <w:szCs w:val="26"/>
        </w:rPr>
        <w:tab/>
      </w:r>
      <w:r w:rsidR="00673DDC">
        <w:rPr>
          <w:b/>
          <w:bCs/>
          <w:color w:val="404040" w:themeColor="text1" w:themeTint="BF"/>
          <w:sz w:val="26"/>
          <w:szCs w:val="26"/>
        </w:rPr>
        <w:t>30</w:t>
      </w:r>
      <w:r w:rsidR="00673DDC" w:rsidRPr="00673DDC">
        <w:rPr>
          <w:b/>
          <w:bCs/>
          <w:color w:val="404040" w:themeColor="text1" w:themeTint="BF"/>
          <w:sz w:val="26"/>
          <w:szCs w:val="26"/>
          <w:vertAlign w:val="superscript"/>
        </w:rPr>
        <w:t>th</w:t>
      </w:r>
      <w:r w:rsidR="00673DDC">
        <w:rPr>
          <w:b/>
          <w:bCs/>
          <w:color w:val="404040" w:themeColor="text1" w:themeTint="BF"/>
          <w:sz w:val="26"/>
          <w:szCs w:val="26"/>
        </w:rPr>
        <w:t xml:space="preserve"> September 2021</w:t>
      </w:r>
    </w:p>
    <w:sectPr w:rsidR="00A34E4C" w:rsidRPr="001D15FE" w:rsidSect="008A7540">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8B0C" w14:textId="77777777" w:rsidR="00354890" w:rsidRDefault="00354890" w:rsidP="008A7540">
      <w:pPr>
        <w:spacing w:after="0" w:line="240" w:lineRule="auto"/>
      </w:pPr>
      <w:r>
        <w:separator/>
      </w:r>
    </w:p>
  </w:endnote>
  <w:endnote w:type="continuationSeparator" w:id="0">
    <w:p w14:paraId="7F32A4C1" w14:textId="77777777" w:rsidR="00354890" w:rsidRDefault="00354890" w:rsidP="008A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23FC" w14:textId="144E26E6" w:rsidR="007B0787" w:rsidRPr="00D24E81" w:rsidRDefault="00565301" w:rsidP="007B0787">
    <w:pPr>
      <w:pStyle w:val="Footer"/>
      <w:rPr>
        <w:sz w:val="20"/>
        <w:szCs w:val="20"/>
      </w:rPr>
    </w:pPr>
    <w:r>
      <w:rPr>
        <w:color w:val="404040" w:themeColor="text1" w:themeTint="BF"/>
        <w:sz w:val="20"/>
        <w:szCs w:val="20"/>
      </w:rPr>
      <w:t xml:space="preserve">       </w:t>
    </w:r>
    <w:r w:rsidR="007B0787" w:rsidRPr="00D24E81">
      <w:rPr>
        <w:color w:val="404040" w:themeColor="text1" w:themeTint="BF"/>
        <w:sz w:val="20"/>
        <w:szCs w:val="20"/>
      </w:rPr>
      <w:t xml:space="preserve">Version </w:t>
    </w:r>
    <w:proofErr w:type="gramStart"/>
    <w:r w:rsidR="00AE35A5">
      <w:rPr>
        <w:color w:val="404040" w:themeColor="text1" w:themeTint="BF"/>
        <w:sz w:val="20"/>
        <w:szCs w:val="20"/>
      </w:rPr>
      <w:t>1.0</w:t>
    </w:r>
    <w:r w:rsidR="007B0787" w:rsidRPr="00D24E81">
      <w:rPr>
        <w:color w:val="404040" w:themeColor="text1" w:themeTint="BF"/>
        <w:sz w:val="20"/>
        <w:szCs w:val="20"/>
      </w:rPr>
      <w:t xml:space="preserve">  Approv</w:t>
    </w:r>
    <w:r w:rsidR="00AE35A5">
      <w:rPr>
        <w:color w:val="404040" w:themeColor="text1" w:themeTint="BF"/>
        <w:sz w:val="20"/>
        <w:szCs w:val="20"/>
      </w:rPr>
      <w:t>ed</w:t>
    </w:r>
    <w:proofErr w:type="gramEnd"/>
    <w:r w:rsidR="00AE35A5">
      <w:rPr>
        <w:color w:val="404040" w:themeColor="text1" w:themeTint="BF"/>
        <w:sz w:val="20"/>
        <w:szCs w:val="20"/>
      </w:rPr>
      <w:t xml:space="preserve">                       </w:t>
    </w:r>
    <w:r w:rsidR="007B0787" w:rsidRPr="00D24E81">
      <w:rPr>
        <w:sz w:val="20"/>
        <w:szCs w:val="20"/>
      </w:rPr>
      <w:t xml:space="preserve">                                                                                                                                                                                                  </w:t>
    </w:r>
    <w:r>
      <w:rPr>
        <w:sz w:val="20"/>
        <w:szCs w:val="20"/>
      </w:rPr>
      <w:t xml:space="preserve">                               </w:t>
    </w:r>
    <w:r w:rsidR="007B0787" w:rsidRPr="00D24E81">
      <w:rPr>
        <w:sz w:val="20"/>
        <w:szCs w:val="20"/>
      </w:rPr>
      <w:t xml:space="preserve">    </w:t>
    </w:r>
    <w:r w:rsidR="007B0787" w:rsidRPr="00D24E81">
      <w:rPr>
        <w:color w:val="404040" w:themeColor="text1" w:themeTint="BF"/>
        <w:sz w:val="20"/>
        <w:szCs w:val="20"/>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DD4FD" w14:textId="77777777" w:rsidR="00354890" w:rsidRDefault="00354890" w:rsidP="008A7540">
      <w:pPr>
        <w:spacing w:after="0" w:line="240" w:lineRule="auto"/>
      </w:pPr>
      <w:r>
        <w:separator/>
      </w:r>
    </w:p>
  </w:footnote>
  <w:footnote w:type="continuationSeparator" w:id="0">
    <w:p w14:paraId="42F3518A" w14:textId="77777777" w:rsidR="00354890" w:rsidRDefault="00354890" w:rsidP="008A7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385189"/>
      <w:docPartObj>
        <w:docPartGallery w:val="Page Numbers (Top of Page)"/>
        <w:docPartUnique/>
      </w:docPartObj>
    </w:sdtPr>
    <w:sdtEndPr>
      <w:rPr>
        <w:noProof/>
      </w:rPr>
    </w:sdtEndPr>
    <w:sdtContent>
      <w:p w14:paraId="72163306" w14:textId="1436D7B3" w:rsidR="00160A20" w:rsidRDefault="00160A20">
        <w:pPr>
          <w:pStyle w:val="Header"/>
        </w:pPr>
        <w:r w:rsidRPr="00A34E4C">
          <w:rPr>
            <w:noProof/>
            <w:color w:val="404040" w:themeColor="text1" w:themeTint="BF"/>
            <w:sz w:val="44"/>
            <w:szCs w:val="44"/>
          </w:rPr>
          <w:drawing>
            <wp:anchor distT="0" distB="0" distL="114300" distR="114300" simplePos="0" relativeHeight="251659264" behindDoc="0" locked="0" layoutInCell="1" allowOverlap="1" wp14:anchorId="1511B799" wp14:editId="48547E31">
              <wp:simplePos x="0" y="0"/>
              <wp:positionH relativeFrom="margin">
                <wp:align>right</wp:align>
              </wp:positionH>
              <wp:positionV relativeFrom="paragraph">
                <wp:posOffset>-324485</wp:posOffset>
              </wp:positionV>
              <wp:extent cx="2206625" cy="681355"/>
              <wp:effectExtent l="0" t="0" r="3175" b="4445"/>
              <wp:wrapSquare wrapText="bothSides"/>
              <wp:docPr id="8" name="Picture 8" descr="Logo&#10;&#10;Description automatically generated">
                <a:extLst xmlns:a="http://schemas.openxmlformats.org/drawingml/2006/main">
                  <a:ext uri="{FF2B5EF4-FFF2-40B4-BE49-F238E27FC236}">
                    <a16:creationId xmlns:a16="http://schemas.microsoft.com/office/drawing/2014/main" id="{880CEDD3-ABA3-44FB-9096-C1232DBB3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880CEDD3-ABA3-44FB-9096-C1232DBB3E3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6625" cy="68135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5A2752F8" w14:textId="672C5E7B" w:rsidR="008A7540" w:rsidRDefault="008A75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848CF"/>
    <w:multiLevelType w:val="hybridMultilevel"/>
    <w:tmpl w:val="D824716A"/>
    <w:lvl w:ilvl="0" w:tplc="5E72C820">
      <w:start w:val="1"/>
      <w:numFmt w:val="bullet"/>
      <w:lvlText w:val="•"/>
      <w:lvlJc w:val="left"/>
      <w:pPr>
        <w:tabs>
          <w:tab w:val="num" w:pos="720"/>
        </w:tabs>
        <w:ind w:left="720" w:hanging="360"/>
      </w:pPr>
      <w:rPr>
        <w:rFonts w:ascii="Arial" w:hAnsi="Arial" w:hint="default"/>
      </w:rPr>
    </w:lvl>
    <w:lvl w:ilvl="1" w:tplc="0D586142">
      <w:start w:val="1"/>
      <w:numFmt w:val="bullet"/>
      <w:lvlText w:val="•"/>
      <w:lvlJc w:val="left"/>
      <w:pPr>
        <w:tabs>
          <w:tab w:val="num" w:pos="1440"/>
        </w:tabs>
        <w:ind w:left="1440" w:hanging="360"/>
      </w:pPr>
      <w:rPr>
        <w:rFonts w:ascii="Arial" w:hAnsi="Arial" w:hint="default"/>
      </w:rPr>
    </w:lvl>
    <w:lvl w:ilvl="2" w:tplc="A08A4D56" w:tentative="1">
      <w:start w:val="1"/>
      <w:numFmt w:val="bullet"/>
      <w:lvlText w:val="•"/>
      <w:lvlJc w:val="left"/>
      <w:pPr>
        <w:tabs>
          <w:tab w:val="num" w:pos="2160"/>
        </w:tabs>
        <w:ind w:left="2160" w:hanging="360"/>
      </w:pPr>
      <w:rPr>
        <w:rFonts w:ascii="Arial" w:hAnsi="Arial" w:hint="default"/>
      </w:rPr>
    </w:lvl>
    <w:lvl w:ilvl="3" w:tplc="6D34D7CC" w:tentative="1">
      <w:start w:val="1"/>
      <w:numFmt w:val="bullet"/>
      <w:lvlText w:val="•"/>
      <w:lvlJc w:val="left"/>
      <w:pPr>
        <w:tabs>
          <w:tab w:val="num" w:pos="2880"/>
        </w:tabs>
        <w:ind w:left="2880" w:hanging="360"/>
      </w:pPr>
      <w:rPr>
        <w:rFonts w:ascii="Arial" w:hAnsi="Arial" w:hint="default"/>
      </w:rPr>
    </w:lvl>
    <w:lvl w:ilvl="4" w:tplc="4E603A04" w:tentative="1">
      <w:start w:val="1"/>
      <w:numFmt w:val="bullet"/>
      <w:lvlText w:val="•"/>
      <w:lvlJc w:val="left"/>
      <w:pPr>
        <w:tabs>
          <w:tab w:val="num" w:pos="3600"/>
        </w:tabs>
        <w:ind w:left="3600" w:hanging="360"/>
      </w:pPr>
      <w:rPr>
        <w:rFonts w:ascii="Arial" w:hAnsi="Arial" w:hint="default"/>
      </w:rPr>
    </w:lvl>
    <w:lvl w:ilvl="5" w:tplc="170CA836" w:tentative="1">
      <w:start w:val="1"/>
      <w:numFmt w:val="bullet"/>
      <w:lvlText w:val="•"/>
      <w:lvlJc w:val="left"/>
      <w:pPr>
        <w:tabs>
          <w:tab w:val="num" w:pos="4320"/>
        </w:tabs>
        <w:ind w:left="4320" w:hanging="360"/>
      </w:pPr>
      <w:rPr>
        <w:rFonts w:ascii="Arial" w:hAnsi="Arial" w:hint="default"/>
      </w:rPr>
    </w:lvl>
    <w:lvl w:ilvl="6" w:tplc="C25E2D78" w:tentative="1">
      <w:start w:val="1"/>
      <w:numFmt w:val="bullet"/>
      <w:lvlText w:val="•"/>
      <w:lvlJc w:val="left"/>
      <w:pPr>
        <w:tabs>
          <w:tab w:val="num" w:pos="5040"/>
        </w:tabs>
        <w:ind w:left="5040" w:hanging="360"/>
      </w:pPr>
      <w:rPr>
        <w:rFonts w:ascii="Arial" w:hAnsi="Arial" w:hint="default"/>
      </w:rPr>
    </w:lvl>
    <w:lvl w:ilvl="7" w:tplc="D7544A7C" w:tentative="1">
      <w:start w:val="1"/>
      <w:numFmt w:val="bullet"/>
      <w:lvlText w:val="•"/>
      <w:lvlJc w:val="left"/>
      <w:pPr>
        <w:tabs>
          <w:tab w:val="num" w:pos="5760"/>
        </w:tabs>
        <w:ind w:left="5760" w:hanging="360"/>
      </w:pPr>
      <w:rPr>
        <w:rFonts w:ascii="Arial" w:hAnsi="Arial" w:hint="default"/>
      </w:rPr>
    </w:lvl>
    <w:lvl w:ilvl="8" w:tplc="F7FE71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0F7BC0"/>
    <w:multiLevelType w:val="hybridMultilevel"/>
    <w:tmpl w:val="8DFA4248"/>
    <w:lvl w:ilvl="0" w:tplc="2DF09836">
      <w:start w:val="1"/>
      <w:numFmt w:val="bullet"/>
      <w:lvlText w:val="•"/>
      <w:lvlJc w:val="left"/>
      <w:pPr>
        <w:tabs>
          <w:tab w:val="num" w:pos="720"/>
        </w:tabs>
        <w:ind w:left="720" w:hanging="360"/>
      </w:pPr>
      <w:rPr>
        <w:rFonts w:ascii="Arial" w:hAnsi="Arial" w:hint="default"/>
      </w:rPr>
    </w:lvl>
    <w:lvl w:ilvl="1" w:tplc="C8E44F64">
      <w:start w:val="1"/>
      <w:numFmt w:val="bullet"/>
      <w:lvlText w:val="•"/>
      <w:lvlJc w:val="left"/>
      <w:pPr>
        <w:tabs>
          <w:tab w:val="num" w:pos="1440"/>
        </w:tabs>
        <w:ind w:left="1440" w:hanging="360"/>
      </w:pPr>
      <w:rPr>
        <w:rFonts w:ascii="Arial" w:hAnsi="Arial" w:hint="default"/>
      </w:rPr>
    </w:lvl>
    <w:lvl w:ilvl="2" w:tplc="226CE4D8" w:tentative="1">
      <w:start w:val="1"/>
      <w:numFmt w:val="bullet"/>
      <w:lvlText w:val="•"/>
      <w:lvlJc w:val="left"/>
      <w:pPr>
        <w:tabs>
          <w:tab w:val="num" w:pos="2160"/>
        </w:tabs>
        <w:ind w:left="2160" w:hanging="360"/>
      </w:pPr>
      <w:rPr>
        <w:rFonts w:ascii="Arial" w:hAnsi="Arial" w:hint="default"/>
      </w:rPr>
    </w:lvl>
    <w:lvl w:ilvl="3" w:tplc="DF5EAA4C" w:tentative="1">
      <w:start w:val="1"/>
      <w:numFmt w:val="bullet"/>
      <w:lvlText w:val="•"/>
      <w:lvlJc w:val="left"/>
      <w:pPr>
        <w:tabs>
          <w:tab w:val="num" w:pos="2880"/>
        </w:tabs>
        <w:ind w:left="2880" w:hanging="360"/>
      </w:pPr>
      <w:rPr>
        <w:rFonts w:ascii="Arial" w:hAnsi="Arial" w:hint="default"/>
      </w:rPr>
    </w:lvl>
    <w:lvl w:ilvl="4" w:tplc="CB528054" w:tentative="1">
      <w:start w:val="1"/>
      <w:numFmt w:val="bullet"/>
      <w:lvlText w:val="•"/>
      <w:lvlJc w:val="left"/>
      <w:pPr>
        <w:tabs>
          <w:tab w:val="num" w:pos="3600"/>
        </w:tabs>
        <w:ind w:left="3600" w:hanging="360"/>
      </w:pPr>
      <w:rPr>
        <w:rFonts w:ascii="Arial" w:hAnsi="Arial" w:hint="default"/>
      </w:rPr>
    </w:lvl>
    <w:lvl w:ilvl="5" w:tplc="78782E8A" w:tentative="1">
      <w:start w:val="1"/>
      <w:numFmt w:val="bullet"/>
      <w:lvlText w:val="•"/>
      <w:lvlJc w:val="left"/>
      <w:pPr>
        <w:tabs>
          <w:tab w:val="num" w:pos="4320"/>
        </w:tabs>
        <w:ind w:left="4320" w:hanging="360"/>
      </w:pPr>
      <w:rPr>
        <w:rFonts w:ascii="Arial" w:hAnsi="Arial" w:hint="default"/>
      </w:rPr>
    </w:lvl>
    <w:lvl w:ilvl="6" w:tplc="ED4863D4" w:tentative="1">
      <w:start w:val="1"/>
      <w:numFmt w:val="bullet"/>
      <w:lvlText w:val="•"/>
      <w:lvlJc w:val="left"/>
      <w:pPr>
        <w:tabs>
          <w:tab w:val="num" w:pos="5040"/>
        </w:tabs>
        <w:ind w:left="5040" w:hanging="360"/>
      </w:pPr>
      <w:rPr>
        <w:rFonts w:ascii="Arial" w:hAnsi="Arial" w:hint="default"/>
      </w:rPr>
    </w:lvl>
    <w:lvl w:ilvl="7" w:tplc="46E42B74" w:tentative="1">
      <w:start w:val="1"/>
      <w:numFmt w:val="bullet"/>
      <w:lvlText w:val="•"/>
      <w:lvlJc w:val="left"/>
      <w:pPr>
        <w:tabs>
          <w:tab w:val="num" w:pos="5760"/>
        </w:tabs>
        <w:ind w:left="5760" w:hanging="360"/>
      </w:pPr>
      <w:rPr>
        <w:rFonts w:ascii="Arial" w:hAnsi="Arial" w:hint="default"/>
      </w:rPr>
    </w:lvl>
    <w:lvl w:ilvl="8" w:tplc="7142718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B721AF1"/>
    <w:multiLevelType w:val="hybridMultilevel"/>
    <w:tmpl w:val="6A247E0C"/>
    <w:lvl w:ilvl="0" w:tplc="0340FB50">
      <w:start w:val="1"/>
      <w:numFmt w:val="bullet"/>
      <w:lvlText w:val="•"/>
      <w:lvlJc w:val="left"/>
      <w:pPr>
        <w:tabs>
          <w:tab w:val="num" w:pos="720"/>
        </w:tabs>
        <w:ind w:left="720" w:hanging="360"/>
      </w:pPr>
      <w:rPr>
        <w:rFonts w:ascii="Arial" w:hAnsi="Arial" w:hint="default"/>
      </w:rPr>
    </w:lvl>
    <w:lvl w:ilvl="1" w:tplc="E6FE3812">
      <w:start w:val="1"/>
      <w:numFmt w:val="bullet"/>
      <w:lvlText w:val="•"/>
      <w:lvlJc w:val="left"/>
      <w:pPr>
        <w:tabs>
          <w:tab w:val="num" w:pos="1440"/>
        </w:tabs>
        <w:ind w:left="1440" w:hanging="360"/>
      </w:pPr>
      <w:rPr>
        <w:rFonts w:ascii="Arial" w:hAnsi="Arial" w:hint="default"/>
      </w:rPr>
    </w:lvl>
    <w:lvl w:ilvl="2" w:tplc="6A4EB51E" w:tentative="1">
      <w:start w:val="1"/>
      <w:numFmt w:val="bullet"/>
      <w:lvlText w:val="•"/>
      <w:lvlJc w:val="left"/>
      <w:pPr>
        <w:tabs>
          <w:tab w:val="num" w:pos="2160"/>
        </w:tabs>
        <w:ind w:left="2160" w:hanging="360"/>
      </w:pPr>
      <w:rPr>
        <w:rFonts w:ascii="Arial" w:hAnsi="Arial" w:hint="default"/>
      </w:rPr>
    </w:lvl>
    <w:lvl w:ilvl="3" w:tplc="E1C4BF34" w:tentative="1">
      <w:start w:val="1"/>
      <w:numFmt w:val="bullet"/>
      <w:lvlText w:val="•"/>
      <w:lvlJc w:val="left"/>
      <w:pPr>
        <w:tabs>
          <w:tab w:val="num" w:pos="2880"/>
        </w:tabs>
        <w:ind w:left="2880" w:hanging="360"/>
      </w:pPr>
      <w:rPr>
        <w:rFonts w:ascii="Arial" w:hAnsi="Arial" w:hint="default"/>
      </w:rPr>
    </w:lvl>
    <w:lvl w:ilvl="4" w:tplc="A01CE730" w:tentative="1">
      <w:start w:val="1"/>
      <w:numFmt w:val="bullet"/>
      <w:lvlText w:val="•"/>
      <w:lvlJc w:val="left"/>
      <w:pPr>
        <w:tabs>
          <w:tab w:val="num" w:pos="3600"/>
        </w:tabs>
        <w:ind w:left="3600" w:hanging="360"/>
      </w:pPr>
      <w:rPr>
        <w:rFonts w:ascii="Arial" w:hAnsi="Arial" w:hint="default"/>
      </w:rPr>
    </w:lvl>
    <w:lvl w:ilvl="5" w:tplc="C14AC09E" w:tentative="1">
      <w:start w:val="1"/>
      <w:numFmt w:val="bullet"/>
      <w:lvlText w:val="•"/>
      <w:lvlJc w:val="left"/>
      <w:pPr>
        <w:tabs>
          <w:tab w:val="num" w:pos="4320"/>
        </w:tabs>
        <w:ind w:left="4320" w:hanging="360"/>
      </w:pPr>
      <w:rPr>
        <w:rFonts w:ascii="Arial" w:hAnsi="Arial" w:hint="default"/>
      </w:rPr>
    </w:lvl>
    <w:lvl w:ilvl="6" w:tplc="FFE8217C" w:tentative="1">
      <w:start w:val="1"/>
      <w:numFmt w:val="bullet"/>
      <w:lvlText w:val="•"/>
      <w:lvlJc w:val="left"/>
      <w:pPr>
        <w:tabs>
          <w:tab w:val="num" w:pos="5040"/>
        </w:tabs>
        <w:ind w:left="5040" w:hanging="360"/>
      </w:pPr>
      <w:rPr>
        <w:rFonts w:ascii="Arial" w:hAnsi="Arial" w:hint="default"/>
      </w:rPr>
    </w:lvl>
    <w:lvl w:ilvl="7" w:tplc="108897D6" w:tentative="1">
      <w:start w:val="1"/>
      <w:numFmt w:val="bullet"/>
      <w:lvlText w:val="•"/>
      <w:lvlJc w:val="left"/>
      <w:pPr>
        <w:tabs>
          <w:tab w:val="num" w:pos="5760"/>
        </w:tabs>
        <w:ind w:left="5760" w:hanging="360"/>
      </w:pPr>
      <w:rPr>
        <w:rFonts w:ascii="Arial" w:hAnsi="Arial" w:hint="default"/>
      </w:rPr>
    </w:lvl>
    <w:lvl w:ilvl="8" w:tplc="7D4A11C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40"/>
    <w:rsid w:val="000317D5"/>
    <w:rsid w:val="0004206C"/>
    <w:rsid w:val="000502B1"/>
    <w:rsid w:val="000613D5"/>
    <w:rsid w:val="000B081C"/>
    <w:rsid w:val="000E2CBE"/>
    <w:rsid w:val="00112A6E"/>
    <w:rsid w:val="00160A20"/>
    <w:rsid w:val="00164EFB"/>
    <w:rsid w:val="00185F9C"/>
    <w:rsid w:val="001D15FE"/>
    <w:rsid w:val="00223988"/>
    <w:rsid w:val="0027363A"/>
    <w:rsid w:val="002C720D"/>
    <w:rsid w:val="00343832"/>
    <w:rsid w:val="00346660"/>
    <w:rsid w:val="00354890"/>
    <w:rsid w:val="003F25A8"/>
    <w:rsid w:val="00414738"/>
    <w:rsid w:val="004A00DD"/>
    <w:rsid w:val="004E1403"/>
    <w:rsid w:val="00546344"/>
    <w:rsid w:val="00565301"/>
    <w:rsid w:val="00654E4D"/>
    <w:rsid w:val="00657AB5"/>
    <w:rsid w:val="00673DDC"/>
    <w:rsid w:val="006E17D0"/>
    <w:rsid w:val="00776DA8"/>
    <w:rsid w:val="007921D0"/>
    <w:rsid w:val="007B0787"/>
    <w:rsid w:val="007D0156"/>
    <w:rsid w:val="008A7540"/>
    <w:rsid w:val="008A7618"/>
    <w:rsid w:val="009654E3"/>
    <w:rsid w:val="009A2F98"/>
    <w:rsid w:val="009D1567"/>
    <w:rsid w:val="00A34E4C"/>
    <w:rsid w:val="00A72FC8"/>
    <w:rsid w:val="00AE35A5"/>
    <w:rsid w:val="00B40B1C"/>
    <w:rsid w:val="00BB1858"/>
    <w:rsid w:val="00BD5AB9"/>
    <w:rsid w:val="00C43B35"/>
    <w:rsid w:val="00C7568F"/>
    <w:rsid w:val="00CE5C80"/>
    <w:rsid w:val="00CF1C04"/>
    <w:rsid w:val="00D149E9"/>
    <w:rsid w:val="00D24E81"/>
    <w:rsid w:val="00E8049E"/>
    <w:rsid w:val="00E90D63"/>
    <w:rsid w:val="00F05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EC347"/>
  <w15:chartTrackingRefBased/>
  <w15:docId w15:val="{6FDE8B39-BDC3-4CD1-A733-A29A940A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540"/>
  </w:style>
  <w:style w:type="paragraph" w:styleId="Footer">
    <w:name w:val="footer"/>
    <w:basedOn w:val="Normal"/>
    <w:link w:val="FooterChar"/>
    <w:uiPriority w:val="99"/>
    <w:unhideWhenUsed/>
    <w:rsid w:val="008A7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2842">
      <w:bodyDiv w:val="1"/>
      <w:marLeft w:val="0"/>
      <w:marRight w:val="0"/>
      <w:marTop w:val="0"/>
      <w:marBottom w:val="0"/>
      <w:divBdr>
        <w:top w:val="none" w:sz="0" w:space="0" w:color="auto"/>
        <w:left w:val="none" w:sz="0" w:space="0" w:color="auto"/>
        <w:bottom w:val="none" w:sz="0" w:space="0" w:color="auto"/>
        <w:right w:val="none" w:sz="0" w:space="0" w:color="auto"/>
      </w:divBdr>
      <w:divsChild>
        <w:div w:id="1819609368">
          <w:marLeft w:val="1152"/>
          <w:marRight w:val="0"/>
          <w:marTop w:val="100"/>
          <w:marBottom w:val="0"/>
          <w:divBdr>
            <w:top w:val="none" w:sz="0" w:space="0" w:color="auto"/>
            <w:left w:val="none" w:sz="0" w:space="0" w:color="auto"/>
            <w:bottom w:val="none" w:sz="0" w:space="0" w:color="auto"/>
            <w:right w:val="none" w:sz="0" w:space="0" w:color="auto"/>
          </w:divBdr>
        </w:div>
        <w:div w:id="108280571">
          <w:marLeft w:val="1152"/>
          <w:marRight w:val="0"/>
          <w:marTop w:val="100"/>
          <w:marBottom w:val="0"/>
          <w:divBdr>
            <w:top w:val="none" w:sz="0" w:space="0" w:color="auto"/>
            <w:left w:val="none" w:sz="0" w:space="0" w:color="auto"/>
            <w:bottom w:val="none" w:sz="0" w:space="0" w:color="auto"/>
            <w:right w:val="none" w:sz="0" w:space="0" w:color="auto"/>
          </w:divBdr>
        </w:div>
        <w:div w:id="2028017918">
          <w:marLeft w:val="1152"/>
          <w:marRight w:val="0"/>
          <w:marTop w:val="100"/>
          <w:marBottom w:val="0"/>
          <w:divBdr>
            <w:top w:val="none" w:sz="0" w:space="0" w:color="auto"/>
            <w:left w:val="none" w:sz="0" w:space="0" w:color="auto"/>
            <w:bottom w:val="none" w:sz="0" w:space="0" w:color="auto"/>
            <w:right w:val="none" w:sz="0" w:space="0" w:color="auto"/>
          </w:divBdr>
        </w:div>
        <w:div w:id="34235211">
          <w:marLeft w:val="1152"/>
          <w:marRight w:val="0"/>
          <w:marTop w:val="100"/>
          <w:marBottom w:val="0"/>
          <w:divBdr>
            <w:top w:val="none" w:sz="0" w:space="0" w:color="auto"/>
            <w:left w:val="none" w:sz="0" w:space="0" w:color="auto"/>
            <w:bottom w:val="none" w:sz="0" w:space="0" w:color="auto"/>
            <w:right w:val="none" w:sz="0" w:space="0" w:color="auto"/>
          </w:divBdr>
        </w:div>
        <w:div w:id="1418139792">
          <w:marLeft w:val="1152"/>
          <w:marRight w:val="0"/>
          <w:marTop w:val="100"/>
          <w:marBottom w:val="0"/>
          <w:divBdr>
            <w:top w:val="none" w:sz="0" w:space="0" w:color="auto"/>
            <w:left w:val="none" w:sz="0" w:space="0" w:color="auto"/>
            <w:bottom w:val="none" w:sz="0" w:space="0" w:color="auto"/>
            <w:right w:val="none" w:sz="0" w:space="0" w:color="auto"/>
          </w:divBdr>
        </w:div>
        <w:div w:id="1202014019">
          <w:marLeft w:val="1152"/>
          <w:marRight w:val="0"/>
          <w:marTop w:val="100"/>
          <w:marBottom w:val="0"/>
          <w:divBdr>
            <w:top w:val="none" w:sz="0" w:space="0" w:color="auto"/>
            <w:left w:val="none" w:sz="0" w:space="0" w:color="auto"/>
            <w:bottom w:val="none" w:sz="0" w:space="0" w:color="auto"/>
            <w:right w:val="none" w:sz="0" w:space="0" w:color="auto"/>
          </w:divBdr>
        </w:div>
        <w:div w:id="1917087884">
          <w:marLeft w:val="1152"/>
          <w:marRight w:val="0"/>
          <w:marTop w:val="100"/>
          <w:marBottom w:val="0"/>
          <w:divBdr>
            <w:top w:val="none" w:sz="0" w:space="0" w:color="auto"/>
            <w:left w:val="none" w:sz="0" w:space="0" w:color="auto"/>
            <w:bottom w:val="none" w:sz="0" w:space="0" w:color="auto"/>
            <w:right w:val="none" w:sz="0" w:space="0" w:color="auto"/>
          </w:divBdr>
        </w:div>
        <w:div w:id="924650988">
          <w:marLeft w:val="1152"/>
          <w:marRight w:val="0"/>
          <w:marTop w:val="100"/>
          <w:marBottom w:val="0"/>
          <w:divBdr>
            <w:top w:val="none" w:sz="0" w:space="0" w:color="auto"/>
            <w:left w:val="none" w:sz="0" w:space="0" w:color="auto"/>
            <w:bottom w:val="none" w:sz="0" w:space="0" w:color="auto"/>
            <w:right w:val="none" w:sz="0" w:space="0" w:color="auto"/>
          </w:divBdr>
        </w:div>
        <w:div w:id="216235995">
          <w:marLeft w:val="1152"/>
          <w:marRight w:val="0"/>
          <w:marTop w:val="100"/>
          <w:marBottom w:val="0"/>
          <w:divBdr>
            <w:top w:val="none" w:sz="0" w:space="0" w:color="auto"/>
            <w:left w:val="none" w:sz="0" w:space="0" w:color="auto"/>
            <w:bottom w:val="none" w:sz="0" w:space="0" w:color="auto"/>
            <w:right w:val="none" w:sz="0" w:space="0" w:color="auto"/>
          </w:divBdr>
        </w:div>
        <w:div w:id="1963225762">
          <w:marLeft w:val="1152"/>
          <w:marRight w:val="0"/>
          <w:marTop w:val="100"/>
          <w:marBottom w:val="0"/>
          <w:divBdr>
            <w:top w:val="none" w:sz="0" w:space="0" w:color="auto"/>
            <w:left w:val="none" w:sz="0" w:space="0" w:color="auto"/>
            <w:bottom w:val="none" w:sz="0" w:space="0" w:color="auto"/>
            <w:right w:val="none" w:sz="0" w:space="0" w:color="auto"/>
          </w:divBdr>
        </w:div>
        <w:div w:id="1259169726">
          <w:marLeft w:val="1152"/>
          <w:marRight w:val="0"/>
          <w:marTop w:val="100"/>
          <w:marBottom w:val="0"/>
          <w:divBdr>
            <w:top w:val="none" w:sz="0" w:space="0" w:color="auto"/>
            <w:left w:val="none" w:sz="0" w:space="0" w:color="auto"/>
            <w:bottom w:val="none" w:sz="0" w:space="0" w:color="auto"/>
            <w:right w:val="none" w:sz="0" w:space="0" w:color="auto"/>
          </w:divBdr>
        </w:div>
      </w:divsChild>
    </w:div>
    <w:div w:id="1074738062">
      <w:bodyDiv w:val="1"/>
      <w:marLeft w:val="0"/>
      <w:marRight w:val="0"/>
      <w:marTop w:val="0"/>
      <w:marBottom w:val="0"/>
      <w:divBdr>
        <w:top w:val="none" w:sz="0" w:space="0" w:color="auto"/>
        <w:left w:val="none" w:sz="0" w:space="0" w:color="auto"/>
        <w:bottom w:val="none" w:sz="0" w:space="0" w:color="auto"/>
        <w:right w:val="none" w:sz="0" w:space="0" w:color="auto"/>
      </w:divBdr>
    </w:div>
    <w:div w:id="1243562935">
      <w:bodyDiv w:val="1"/>
      <w:marLeft w:val="0"/>
      <w:marRight w:val="0"/>
      <w:marTop w:val="0"/>
      <w:marBottom w:val="0"/>
      <w:divBdr>
        <w:top w:val="none" w:sz="0" w:space="0" w:color="auto"/>
        <w:left w:val="none" w:sz="0" w:space="0" w:color="auto"/>
        <w:bottom w:val="none" w:sz="0" w:space="0" w:color="auto"/>
        <w:right w:val="none" w:sz="0" w:space="0" w:color="auto"/>
      </w:divBdr>
    </w:div>
    <w:div w:id="1710521570">
      <w:bodyDiv w:val="1"/>
      <w:marLeft w:val="0"/>
      <w:marRight w:val="0"/>
      <w:marTop w:val="0"/>
      <w:marBottom w:val="0"/>
      <w:divBdr>
        <w:top w:val="none" w:sz="0" w:space="0" w:color="auto"/>
        <w:left w:val="none" w:sz="0" w:space="0" w:color="auto"/>
        <w:bottom w:val="none" w:sz="0" w:space="0" w:color="auto"/>
        <w:right w:val="none" w:sz="0" w:space="0" w:color="auto"/>
      </w:divBdr>
    </w:div>
    <w:div w:id="1942180991">
      <w:bodyDiv w:val="1"/>
      <w:marLeft w:val="0"/>
      <w:marRight w:val="0"/>
      <w:marTop w:val="0"/>
      <w:marBottom w:val="0"/>
      <w:divBdr>
        <w:top w:val="none" w:sz="0" w:space="0" w:color="auto"/>
        <w:left w:val="none" w:sz="0" w:space="0" w:color="auto"/>
        <w:bottom w:val="none" w:sz="0" w:space="0" w:color="auto"/>
        <w:right w:val="none" w:sz="0" w:space="0" w:color="auto"/>
      </w:divBdr>
    </w:div>
    <w:div w:id="2146071966">
      <w:bodyDiv w:val="1"/>
      <w:marLeft w:val="0"/>
      <w:marRight w:val="0"/>
      <w:marTop w:val="0"/>
      <w:marBottom w:val="0"/>
      <w:divBdr>
        <w:top w:val="none" w:sz="0" w:space="0" w:color="auto"/>
        <w:left w:val="none" w:sz="0" w:space="0" w:color="auto"/>
        <w:bottom w:val="none" w:sz="0" w:space="0" w:color="auto"/>
        <w:right w:val="none" w:sz="0" w:space="0" w:color="auto"/>
      </w:divBdr>
      <w:divsChild>
        <w:div w:id="963804055">
          <w:marLeft w:val="1282"/>
          <w:marRight w:val="0"/>
          <w:marTop w:val="10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Users\tim.mawby\Desktop\Shaw%20Trust%20Net-Zer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Graphs!$B$81</c:f>
              <c:strCache>
                <c:ptCount val="1"/>
                <c:pt idx="0">
                  <c:v>Target Emissions</c:v>
                </c:pt>
              </c:strCache>
            </c:strRef>
          </c:tx>
          <c:spPr>
            <a:solidFill>
              <a:schemeClr val="accent6">
                <a:lumMod val="40000"/>
                <a:lumOff val="60000"/>
              </a:schemeClr>
            </a:solidFill>
            <a:ln w="12700">
              <a:solidFill>
                <a:schemeClr val="accent6">
                  <a:lumMod val="75000"/>
                </a:schemeClr>
              </a:solidFill>
            </a:ln>
            <a:effectLst/>
          </c:spPr>
          <c:cat>
            <c:strRef>
              <c:f>Graphs!$C$80:$M$80</c:f>
              <c:strCache>
                <c:ptCount val="11"/>
                <c:pt idx="0">
                  <c:v>FY 2019-20</c:v>
                </c:pt>
                <c:pt idx="1">
                  <c:v>FY 2020-21</c:v>
                </c:pt>
                <c:pt idx="2">
                  <c:v>FY 2021-22</c:v>
                </c:pt>
                <c:pt idx="3">
                  <c:v>FY 2022-23</c:v>
                </c:pt>
                <c:pt idx="4">
                  <c:v>FY 2023-24</c:v>
                </c:pt>
                <c:pt idx="5">
                  <c:v>FY 2024-25</c:v>
                </c:pt>
                <c:pt idx="6">
                  <c:v>FY 2025-26</c:v>
                </c:pt>
                <c:pt idx="7">
                  <c:v>FY 2026-27</c:v>
                </c:pt>
                <c:pt idx="8">
                  <c:v>FY 2027-28</c:v>
                </c:pt>
                <c:pt idx="9">
                  <c:v>FY 2028-29</c:v>
                </c:pt>
                <c:pt idx="10">
                  <c:v>FY 2029-30</c:v>
                </c:pt>
              </c:strCache>
            </c:strRef>
          </c:cat>
          <c:val>
            <c:numRef>
              <c:f>Graphs!$C$81:$M$81</c:f>
              <c:numCache>
                <c:formatCode>_(* #,##0.00_);_(* \(#,##0.00\);_(* "-"??_);_(@_)</c:formatCode>
                <c:ptCount val="11"/>
                <c:pt idx="0">
                  <c:v>3071.6901628584947</c:v>
                </c:pt>
                <c:pt idx="1">
                  <c:v>2919.2919417764861</c:v>
                </c:pt>
                <c:pt idx="2">
                  <c:v>2766.8937206944775</c:v>
                </c:pt>
                <c:pt idx="3">
                  <c:v>2614.4954996124688</c:v>
                </c:pt>
                <c:pt idx="4">
                  <c:v>2462.0972785304602</c:v>
                </c:pt>
                <c:pt idx="5">
                  <c:v>2309.6990574484516</c:v>
                </c:pt>
                <c:pt idx="6">
                  <c:v>2157.300836366443</c:v>
                </c:pt>
                <c:pt idx="7">
                  <c:v>2004.9026152844344</c:v>
                </c:pt>
                <c:pt idx="8">
                  <c:v>1852.5043942024258</c:v>
                </c:pt>
                <c:pt idx="9">
                  <c:v>1700.1061731204172</c:v>
                </c:pt>
                <c:pt idx="10">
                  <c:v>1547.7079520384086</c:v>
                </c:pt>
              </c:numCache>
            </c:numRef>
          </c:val>
          <c:extLst>
            <c:ext xmlns:c16="http://schemas.microsoft.com/office/drawing/2014/chart" uri="{C3380CC4-5D6E-409C-BE32-E72D297353CC}">
              <c16:uniqueId val="{00000000-9214-40D9-99BD-3F7EC3CE9076}"/>
            </c:ext>
          </c:extLst>
        </c:ser>
        <c:ser>
          <c:idx val="1"/>
          <c:order val="1"/>
          <c:tx>
            <c:strRef>
              <c:f>Graphs!$B$82</c:f>
              <c:strCache>
                <c:ptCount val="1"/>
                <c:pt idx="0">
                  <c:v>Actual Emissions</c:v>
                </c:pt>
              </c:strCache>
            </c:strRef>
          </c:tx>
          <c:spPr>
            <a:solidFill>
              <a:schemeClr val="accent6">
                <a:lumMod val="60000"/>
                <a:lumOff val="40000"/>
              </a:schemeClr>
            </a:solidFill>
            <a:ln w="12700">
              <a:solidFill>
                <a:schemeClr val="accent6">
                  <a:lumMod val="75000"/>
                </a:schemeClr>
              </a:solidFill>
            </a:ln>
            <a:effectLst/>
          </c:spPr>
          <c:cat>
            <c:strRef>
              <c:f>Graphs!$C$80:$M$80</c:f>
              <c:strCache>
                <c:ptCount val="11"/>
                <c:pt idx="0">
                  <c:v>FY 2019-20</c:v>
                </c:pt>
                <c:pt idx="1">
                  <c:v>FY 2020-21</c:v>
                </c:pt>
                <c:pt idx="2">
                  <c:v>FY 2021-22</c:v>
                </c:pt>
                <c:pt idx="3">
                  <c:v>FY 2022-23</c:v>
                </c:pt>
                <c:pt idx="4">
                  <c:v>FY 2023-24</c:v>
                </c:pt>
                <c:pt idx="5">
                  <c:v>FY 2024-25</c:v>
                </c:pt>
                <c:pt idx="6">
                  <c:v>FY 2025-26</c:v>
                </c:pt>
                <c:pt idx="7">
                  <c:v>FY 2026-27</c:v>
                </c:pt>
                <c:pt idx="8">
                  <c:v>FY 2027-28</c:v>
                </c:pt>
                <c:pt idx="9">
                  <c:v>FY 2028-29</c:v>
                </c:pt>
                <c:pt idx="10">
                  <c:v>FY 2029-30</c:v>
                </c:pt>
              </c:strCache>
            </c:strRef>
          </c:cat>
          <c:val>
            <c:numRef>
              <c:f>Graphs!$C$82:$D$82</c:f>
              <c:numCache>
                <c:formatCode>_(* #,##0.00_);_(* \(#,##0.00\);_(* "-"??_);_(@_)</c:formatCode>
                <c:ptCount val="2"/>
                <c:pt idx="0">
                  <c:v>3071.6901628584947</c:v>
                </c:pt>
                <c:pt idx="1">
                  <c:v>3099.536624202794</c:v>
                </c:pt>
              </c:numCache>
            </c:numRef>
          </c:val>
          <c:extLst>
            <c:ext xmlns:c16="http://schemas.microsoft.com/office/drawing/2014/chart" uri="{C3380CC4-5D6E-409C-BE32-E72D297353CC}">
              <c16:uniqueId val="{00000001-9214-40D9-99BD-3F7EC3CE9076}"/>
            </c:ext>
          </c:extLst>
        </c:ser>
        <c:dLbls>
          <c:showLegendKey val="0"/>
          <c:showVal val="0"/>
          <c:showCatName val="0"/>
          <c:showSerName val="0"/>
          <c:showPercent val="0"/>
          <c:showBubbleSize val="0"/>
        </c:dLbls>
        <c:axId val="1723551392"/>
        <c:axId val="864417999"/>
      </c:areaChart>
      <c:catAx>
        <c:axId val="17235513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864417999"/>
        <c:crosses val="autoZero"/>
        <c:auto val="1"/>
        <c:lblAlgn val="ctr"/>
        <c:lblOffset val="100"/>
        <c:noMultiLvlLbl val="0"/>
      </c:catAx>
      <c:valAx>
        <c:axId val="86441799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1" dirty="0"/>
                  <a:t>tCO</a:t>
                </a:r>
                <a:r>
                  <a:rPr lang="en-US" sz="1100" b="1" baseline="-25000" dirty="0"/>
                  <a:t>2</a:t>
                </a:r>
                <a:r>
                  <a:rPr lang="en-US" sz="1100" b="1" baseline="0" dirty="0"/>
                  <a:t>e</a:t>
                </a:r>
                <a:endParaRPr lang="en-US" sz="1100" b="1" dirty="0"/>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0"/>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72355139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604</Words>
  <Characters>3447</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Hunt</dc:creator>
  <cp:keywords/>
  <dc:description/>
  <cp:lastModifiedBy>Mark McCourtie</cp:lastModifiedBy>
  <cp:revision>45</cp:revision>
  <cp:lastPrinted>2021-10-01T08:52:00Z</cp:lastPrinted>
  <dcterms:created xsi:type="dcterms:W3CDTF">2021-09-24T08:14:00Z</dcterms:created>
  <dcterms:modified xsi:type="dcterms:W3CDTF">2021-10-01T08:58:00Z</dcterms:modified>
</cp:coreProperties>
</file>